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3E10F2F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EA12C6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EA12C6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944">
        <w:rPr>
          <w:rFonts w:ascii="Times New Roman" w:hAnsi="Times New Roman" w:cs="Times New Roman"/>
          <w:b/>
          <w:sz w:val="24"/>
          <w:szCs w:val="24"/>
        </w:rPr>
        <w:t>44205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ochrany vod 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4022F7">
        <w:rPr>
          <w:rFonts w:ascii="Times New Roman" w:hAnsi="Times New Roman" w:cs="Times New Roman"/>
          <w:b/>
          <w:sz w:val="24"/>
          <w:szCs w:val="24"/>
        </w:rPr>
        <w:t>Ústí nad Labem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>
        <w:rPr>
          <w:rFonts w:ascii="Times New Roman" w:hAnsi="Times New Roman" w:cs="Times New Roman"/>
          <w:bCs/>
          <w:i/>
          <w:iCs/>
          <w:color w:val="FF0000"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A89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76944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D5B7C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A12C6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3</cp:revision>
  <dcterms:created xsi:type="dcterms:W3CDTF">2025-08-07T12:11:00Z</dcterms:created>
  <dcterms:modified xsi:type="dcterms:W3CDTF">2025-08-11T11:35:00Z</dcterms:modified>
</cp:coreProperties>
</file>