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02E" w:rsidRDefault="0086002E" w:rsidP="008600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Zápis z 18.  porady skupiny pro mezinárodní spolupráci a  34.  porady národní sítě IMPEL konané na ředitelství ČIZP dne </w:t>
      </w:r>
      <w:proofErr w:type="gramStart"/>
      <w:r>
        <w:rPr>
          <w:b/>
          <w:sz w:val="28"/>
          <w:szCs w:val="28"/>
        </w:rPr>
        <w:t>26.11.2013</w:t>
      </w:r>
      <w:proofErr w:type="gramEnd"/>
    </w:p>
    <w:p w:rsidR="0086002E" w:rsidRPr="0086002E" w:rsidRDefault="0086002E">
      <w:pPr>
        <w:rPr>
          <w:sz w:val="24"/>
          <w:szCs w:val="24"/>
        </w:rPr>
      </w:pPr>
      <w:r w:rsidRPr="0086002E">
        <w:rPr>
          <w:b/>
          <w:sz w:val="24"/>
          <w:szCs w:val="24"/>
        </w:rPr>
        <w:t xml:space="preserve">Přítomni: </w:t>
      </w:r>
      <w:r w:rsidRPr="0086002E">
        <w:rPr>
          <w:sz w:val="24"/>
          <w:szCs w:val="24"/>
        </w:rPr>
        <w:t>dle prezenční listiny</w:t>
      </w:r>
    </w:p>
    <w:p w:rsidR="0086002E" w:rsidRPr="0086002E" w:rsidRDefault="0086002E">
      <w:pPr>
        <w:rPr>
          <w:sz w:val="24"/>
          <w:szCs w:val="24"/>
        </w:rPr>
      </w:pPr>
      <w:r w:rsidRPr="0086002E">
        <w:rPr>
          <w:sz w:val="24"/>
          <w:szCs w:val="24"/>
        </w:rPr>
        <w:t>Lenka Němcová přivítal přítomné účastníky a obeznámila je s programem porady</w:t>
      </w:r>
    </w:p>
    <w:p w:rsidR="0086002E" w:rsidRPr="008670D8" w:rsidRDefault="0037047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C2356" w:rsidRPr="00C43826" w:rsidRDefault="00C43826">
      <w:pPr>
        <w:rPr>
          <w:b/>
          <w:sz w:val="24"/>
          <w:szCs w:val="24"/>
        </w:rPr>
      </w:pPr>
      <w:r w:rsidRPr="00C43826">
        <w:rPr>
          <w:b/>
          <w:sz w:val="24"/>
          <w:szCs w:val="24"/>
        </w:rPr>
        <w:t xml:space="preserve">Informace o </w:t>
      </w:r>
      <w:r w:rsidR="00DC2356" w:rsidRPr="00C43826">
        <w:rPr>
          <w:b/>
          <w:sz w:val="24"/>
          <w:szCs w:val="24"/>
        </w:rPr>
        <w:t>IMPEL konferenc</w:t>
      </w:r>
      <w:r w:rsidRPr="00C43826">
        <w:rPr>
          <w:b/>
          <w:sz w:val="24"/>
          <w:szCs w:val="24"/>
        </w:rPr>
        <w:t>i</w:t>
      </w:r>
      <w:r w:rsidR="00DC2356" w:rsidRPr="00C43826">
        <w:rPr>
          <w:b/>
          <w:sz w:val="24"/>
          <w:szCs w:val="24"/>
        </w:rPr>
        <w:t xml:space="preserve"> na Maltě </w:t>
      </w:r>
      <w:proofErr w:type="gramStart"/>
      <w:r w:rsidR="00DC2356" w:rsidRPr="00C43826">
        <w:rPr>
          <w:b/>
          <w:sz w:val="24"/>
          <w:szCs w:val="24"/>
        </w:rPr>
        <w:t>1.10</w:t>
      </w:r>
      <w:proofErr w:type="gramEnd"/>
      <w:r w:rsidR="00DC2356" w:rsidRPr="00C43826">
        <w:rPr>
          <w:b/>
          <w:sz w:val="24"/>
          <w:szCs w:val="24"/>
        </w:rPr>
        <w:t>. – 4.10. 2013 – Lenka Němcová</w:t>
      </w:r>
    </w:p>
    <w:p w:rsidR="00FF2066" w:rsidRDefault="00FF2066">
      <w:r w:rsidRPr="00FF2066">
        <w:t xml:space="preserve">IMPEL konference na Maltě se za ČR zúčastnili za ČIZP – L. Němcová, M. Baranyai a T. Augustin a za MŽP J. </w:t>
      </w:r>
      <w:proofErr w:type="spellStart"/>
      <w:r w:rsidRPr="00FF2066">
        <w:t>Achrer</w:t>
      </w:r>
      <w:proofErr w:type="spellEnd"/>
      <w:r w:rsidRPr="00FF2066">
        <w:t xml:space="preserve"> a L. Dvořák.</w:t>
      </w:r>
      <w:r>
        <w:t xml:space="preserve"> </w:t>
      </w:r>
    </w:p>
    <w:p w:rsidR="00FF2066" w:rsidRDefault="00FF2066">
      <w:r>
        <w:t xml:space="preserve">Dne </w:t>
      </w:r>
      <w:proofErr w:type="gramStart"/>
      <w:r>
        <w:t>2.10.2013</w:t>
      </w:r>
      <w:proofErr w:type="gramEnd"/>
      <w:r>
        <w:t xml:space="preserve"> se konala plenární sekce a sekce 2, která se zabývala sítěmi v rámci životního prostředí a v rámci které proběhly i tři workshopy:</w:t>
      </w:r>
    </w:p>
    <w:p w:rsidR="00FF2066" w:rsidRDefault="00FF2066" w:rsidP="00FF2066">
      <w:pPr>
        <w:pStyle w:val="Odstavecseseznamem"/>
        <w:numPr>
          <w:ilvl w:val="0"/>
          <w:numId w:val="6"/>
        </w:numPr>
      </w:pPr>
      <w:r>
        <w:t>Praktická případová studie soudců</w:t>
      </w:r>
    </w:p>
    <w:p w:rsidR="00FF2066" w:rsidRDefault="00FF2066" w:rsidP="00FF2066">
      <w:pPr>
        <w:pStyle w:val="Odstavecseseznamem"/>
        <w:numPr>
          <w:ilvl w:val="0"/>
          <w:numId w:val="6"/>
        </w:numPr>
      </w:pPr>
      <w:r>
        <w:t>Praktická případová studie státních zástupců</w:t>
      </w:r>
    </w:p>
    <w:p w:rsidR="00FF2066" w:rsidRDefault="00FF2066" w:rsidP="00FF2066">
      <w:pPr>
        <w:pStyle w:val="Odstavecseseznamem"/>
        <w:numPr>
          <w:ilvl w:val="0"/>
          <w:numId w:val="6"/>
        </w:numPr>
      </w:pPr>
      <w:r>
        <w:t>Praktická případová studie ombudsmana</w:t>
      </w:r>
    </w:p>
    <w:p w:rsidR="00FF2066" w:rsidRDefault="00FF2066" w:rsidP="00FF2066">
      <w:r>
        <w:t>Další den konference se konal</w:t>
      </w:r>
      <w:r w:rsidR="00CA69D8">
        <w:t>o</w:t>
      </w:r>
      <w:r>
        <w:t xml:space="preserve"> 8 paralelních workshopů:</w:t>
      </w:r>
    </w:p>
    <w:p w:rsidR="00B52F61" w:rsidRDefault="00B52F61" w:rsidP="00B52F61">
      <w:pPr>
        <w:pStyle w:val="Odstavecseseznamem"/>
        <w:numPr>
          <w:ilvl w:val="0"/>
          <w:numId w:val="7"/>
        </w:numPr>
      </w:pPr>
      <w:r>
        <w:t>Soulad s legislativou a prosazování</w:t>
      </w:r>
    </w:p>
    <w:p w:rsidR="00B52F61" w:rsidRDefault="00B52F61" w:rsidP="00B52F61">
      <w:pPr>
        <w:pStyle w:val="Odstavecseseznamem"/>
        <w:numPr>
          <w:ilvl w:val="0"/>
          <w:numId w:val="7"/>
        </w:numPr>
      </w:pPr>
      <w:r>
        <w:t xml:space="preserve">Od </w:t>
      </w:r>
      <w:proofErr w:type="gramStart"/>
      <w:r>
        <w:t>odpadům</w:t>
      </w:r>
      <w:proofErr w:type="gramEnd"/>
      <w:r>
        <w:t xml:space="preserve"> ke zdrojům</w:t>
      </w:r>
    </w:p>
    <w:p w:rsidR="00B52F61" w:rsidRDefault="00B52F61" w:rsidP="00B52F61">
      <w:pPr>
        <w:pStyle w:val="Odstavecseseznamem"/>
        <w:numPr>
          <w:ilvl w:val="0"/>
          <w:numId w:val="7"/>
        </w:numPr>
      </w:pPr>
      <w:r>
        <w:t>Směrnice o průmyslových emisích</w:t>
      </w:r>
    </w:p>
    <w:p w:rsidR="00B52F61" w:rsidRDefault="00B52F61" w:rsidP="00B52F61">
      <w:pPr>
        <w:pStyle w:val="Odstavecseseznamem"/>
        <w:numPr>
          <w:ilvl w:val="0"/>
          <w:numId w:val="7"/>
        </w:numPr>
      </w:pPr>
      <w:r>
        <w:t>Nové přístupy</w:t>
      </w:r>
    </w:p>
    <w:p w:rsidR="00B52F61" w:rsidRDefault="00B52F61" w:rsidP="00B52F61">
      <w:pPr>
        <w:pStyle w:val="Odstavecseseznamem"/>
        <w:numPr>
          <w:ilvl w:val="0"/>
          <w:numId w:val="7"/>
        </w:numPr>
      </w:pPr>
      <w:r>
        <w:t>Spolupráce a koordinace</w:t>
      </w:r>
    </w:p>
    <w:p w:rsidR="00B52F61" w:rsidRDefault="00B52F61" w:rsidP="00B52F61">
      <w:pPr>
        <w:pStyle w:val="Odstavecseseznamem"/>
        <w:numPr>
          <w:ilvl w:val="0"/>
          <w:numId w:val="7"/>
        </w:numPr>
      </w:pPr>
      <w:r>
        <w:t>Příroda a voda</w:t>
      </w:r>
    </w:p>
    <w:p w:rsidR="00B52F61" w:rsidRDefault="00B52F61" w:rsidP="00B52F61">
      <w:pPr>
        <w:pStyle w:val="Odstavecseseznamem"/>
        <w:numPr>
          <w:ilvl w:val="0"/>
          <w:numId w:val="7"/>
        </w:numPr>
      </w:pPr>
      <w:r>
        <w:t>Budování kapacit</w:t>
      </w:r>
    </w:p>
    <w:p w:rsidR="00FF2066" w:rsidRPr="00FF2066" w:rsidRDefault="00B52F61" w:rsidP="00FF2066">
      <w:pPr>
        <w:pStyle w:val="Odstavecseseznamem"/>
        <w:numPr>
          <w:ilvl w:val="0"/>
          <w:numId w:val="7"/>
        </w:numPr>
      </w:pPr>
      <w:r>
        <w:t>Výzvy pro implementaci: případové studie z oblasti kvality ovzduší a ochrany půdy</w:t>
      </w:r>
    </w:p>
    <w:p w:rsidR="00987EF6" w:rsidRPr="009F26A6" w:rsidRDefault="00B52F61">
      <w:pPr>
        <w:rPr>
          <w:b/>
        </w:rPr>
      </w:pPr>
      <w:r>
        <w:rPr>
          <w:b/>
        </w:rPr>
        <w:t>Informace o w</w:t>
      </w:r>
      <w:r w:rsidR="00740B07" w:rsidRPr="009F26A6">
        <w:rPr>
          <w:b/>
        </w:rPr>
        <w:t>orkshop o zlepšení právního rámce inspekcí ŽP a dohledu</w:t>
      </w:r>
    </w:p>
    <w:p w:rsidR="00140F19" w:rsidRDefault="00B64A12">
      <w:r>
        <w:t xml:space="preserve">Workshop o zlepšení právního rámce inspekcí ŽP a dohledu se konal dne 20. 9.2013 v Bruselu. </w:t>
      </w:r>
      <w:r w:rsidR="005918DE">
        <w:t xml:space="preserve"> V 7. Akčním programu </w:t>
      </w:r>
      <w:r>
        <w:t xml:space="preserve">pro životní prostředí je zmíněn i IMPEL a </w:t>
      </w:r>
      <w:r w:rsidR="005918DE">
        <w:t xml:space="preserve">je </w:t>
      </w:r>
      <w:r>
        <w:t xml:space="preserve">tam v </w:t>
      </w:r>
      <w:r w:rsidR="005918DE">
        <w:t> článku 63 uvedeno, že EU potřebuje podporu od profesionálních sítí</w:t>
      </w:r>
      <w:r w:rsidR="003D340A">
        <w:t xml:space="preserve">, </w:t>
      </w:r>
      <w:r w:rsidR="005918DE">
        <w:t>jako je IMPEL</w:t>
      </w:r>
      <w:r w:rsidR="003D340A">
        <w:t>,</w:t>
      </w:r>
      <w:r w:rsidR="005918DE">
        <w:t xml:space="preserve"> zvláště </w:t>
      </w:r>
      <w:r>
        <w:t xml:space="preserve">EK oceňuje IRI </w:t>
      </w:r>
      <w:proofErr w:type="spellStart"/>
      <w:r>
        <w:t>reviews</w:t>
      </w:r>
      <w:proofErr w:type="spellEnd"/>
      <w:r w:rsidR="009F26A6">
        <w:t xml:space="preserve"> </w:t>
      </w:r>
      <w:r>
        <w:t xml:space="preserve"> (</w:t>
      </w:r>
      <w:r w:rsidR="005918DE">
        <w:t xml:space="preserve">vzájemné </w:t>
      </w:r>
      <w:proofErr w:type="gramStart"/>
      <w:r w:rsidR="005918DE">
        <w:t>hodnocení ) a  sdílení</w:t>
      </w:r>
      <w:proofErr w:type="gramEnd"/>
      <w:r w:rsidR="005918DE">
        <w:t xml:space="preserve"> nejlepší praxe</w:t>
      </w:r>
      <w:r>
        <w:t xml:space="preserve"> v různých oblastech životního prostředí.  Celkově je důležitá funkce inspekcí v členských státech a EK by ji chtěla ještě postavit na vyšší úroveň, tím že legislativa týkající se inspekcí by nebyla již pouhým doporučením, ale </w:t>
      </w:r>
      <w:proofErr w:type="gramStart"/>
      <w:r>
        <w:t>buď</w:t>
      </w:r>
      <w:proofErr w:type="gramEnd"/>
      <w:r>
        <w:t xml:space="preserve"> směrnicí</w:t>
      </w:r>
      <w:r w:rsidR="00CA69D8">
        <w:t xml:space="preserve"> </w:t>
      </w:r>
      <w:r>
        <w:t xml:space="preserve"> nebo </w:t>
      </w:r>
      <w:proofErr w:type="gramStart"/>
      <w:r>
        <w:t>nařízením.</w:t>
      </w:r>
      <w:proofErr w:type="gramEnd"/>
      <w:r>
        <w:t xml:space="preserve"> V rámci workshopu vyvstaly i nové otázky, ale legislativa by měla být dokončena do konce roku 2013. V rámci workshopu byl jako vzor využit model Skotské agentury pro životní prostředí:</w:t>
      </w:r>
    </w:p>
    <w:p w:rsidR="00140F19" w:rsidRDefault="000E62EA">
      <w:r>
        <w:t xml:space="preserve">Skotská agentura životního prostředí  - rozdělení </w:t>
      </w:r>
      <w:r w:rsidR="00B64A12">
        <w:t xml:space="preserve">zařízení </w:t>
      </w:r>
      <w:r>
        <w:t>podle chování provozovatelů</w:t>
      </w:r>
      <w:r w:rsidR="008B077A">
        <w:t>, od nejhorších (</w:t>
      </w:r>
      <w:proofErr w:type="spellStart"/>
      <w:r w:rsidR="008B077A">
        <w:t>Criminal</w:t>
      </w:r>
      <w:proofErr w:type="spellEnd"/>
      <w:r w:rsidR="008B077A">
        <w:t xml:space="preserve"> a </w:t>
      </w:r>
      <w:proofErr w:type="spellStart"/>
      <w:r w:rsidR="008B077A">
        <w:t>Chancer</w:t>
      </w:r>
      <w:proofErr w:type="spellEnd"/>
      <w:r w:rsidR="008B077A">
        <w:t>) až po nejlepší (</w:t>
      </w:r>
      <w:proofErr w:type="spellStart"/>
      <w:r w:rsidR="008B077A">
        <w:t>Compliant</w:t>
      </w:r>
      <w:proofErr w:type="spellEnd"/>
      <w:r w:rsidR="008B077A">
        <w:t xml:space="preserve"> a </w:t>
      </w:r>
      <w:proofErr w:type="spellStart"/>
      <w:r w:rsidR="008B077A">
        <w:t>Champion</w:t>
      </w:r>
      <w:proofErr w:type="spellEnd"/>
      <w:r w:rsidR="008B077A">
        <w:t xml:space="preserve">) </w:t>
      </w:r>
    </w:p>
    <w:p w:rsidR="000E62EA" w:rsidRDefault="000E62EA">
      <w:r>
        <w:t>Nástroje pro vymáhání:</w:t>
      </w:r>
    </w:p>
    <w:p w:rsidR="000E62EA" w:rsidRDefault="000F7AF9" w:rsidP="000E62EA">
      <w:pPr>
        <w:pStyle w:val="Odstavecseseznamem"/>
        <w:numPr>
          <w:ilvl w:val="0"/>
          <w:numId w:val="1"/>
        </w:numPr>
      </w:pPr>
      <w:r>
        <w:t>v</w:t>
      </w:r>
      <w:r w:rsidR="000E62EA">
        <w:t>arovný dopis</w:t>
      </w:r>
    </w:p>
    <w:p w:rsidR="000E62EA" w:rsidRDefault="000E62EA" w:rsidP="000E62EA">
      <w:pPr>
        <w:pStyle w:val="Odstavecseseznamem"/>
        <w:numPr>
          <w:ilvl w:val="0"/>
          <w:numId w:val="1"/>
        </w:numPr>
      </w:pPr>
      <w:proofErr w:type="gramStart"/>
      <w:r>
        <w:lastRenderedPageBreak/>
        <w:t xml:space="preserve">komunikace,  </w:t>
      </w:r>
      <w:r w:rsidR="003D340A">
        <w:t>nápravné</w:t>
      </w:r>
      <w:proofErr w:type="gramEnd"/>
      <w:r w:rsidR="003D340A">
        <w:t xml:space="preserve"> opatření  při způsobení ekologické škody</w:t>
      </w:r>
    </w:p>
    <w:p w:rsidR="003D340A" w:rsidRDefault="003D340A" w:rsidP="000E62EA">
      <w:pPr>
        <w:pStyle w:val="Odstavecseseznamem"/>
        <w:numPr>
          <w:ilvl w:val="0"/>
          <w:numId w:val="1"/>
        </w:numPr>
      </w:pPr>
      <w:r>
        <w:t>administrativní a/nebo  kriminální sankce</w:t>
      </w:r>
    </w:p>
    <w:p w:rsidR="00740B07" w:rsidRDefault="000E62EA">
      <w:r>
        <w:rPr>
          <w:bCs/>
          <w:noProof/>
          <w:lang w:eastAsia="cs-CZ"/>
        </w:rPr>
        <w:drawing>
          <wp:inline distT="0" distB="0" distL="0" distR="0">
            <wp:extent cx="5760720" cy="4157240"/>
            <wp:effectExtent l="133350" t="114300" r="144780" b="1676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572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</wp:inline>
        </w:drawing>
      </w:r>
    </w:p>
    <w:p w:rsidR="000E62EA" w:rsidRDefault="000E62EA"/>
    <w:p w:rsidR="000E62EA" w:rsidRDefault="000E62EA"/>
    <w:p w:rsidR="000E62EA" w:rsidRDefault="008B077A">
      <w:r>
        <w:t>V termínech politiky vymáhání nebo cílech, by mělo být přihlíženo k následujícímu:</w:t>
      </w:r>
    </w:p>
    <w:p w:rsidR="008B077A" w:rsidRDefault="00F61116" w:rsidP="008B077A">
      <w:pPr>
        <w:pStyle w:val="Odstavecseseznamem"/>
        <w:numPr>
          <w:ilvl w:val="0"/>
          <w:numId w:val="2"/>
        </w:numPr>
      </w:pPr>
      <w:r>
        <w:t xml:space="preserve">zásadní </w:t>
      </w:r>
      <w:r w:rsidR="008B077A">
        <w:t>principy</w:t>
      </w:r>
      <w:r>
        <w:t xml:space="preserve"> politiky ŽP EU, zvláště princip znečišťovatel platí a princip prevence</w:t>
      </w:r>
    </w:p>
    <w:p w:rsidR="00F61116" w:rsidRDefault="00F61116" w:rsidP="008B077A">
      <w:pPr>
        <w:pStyle w:val="Odstavecseseznamem"/>
        <w:numPr>
          <w:ilvl w:val="0"/>
          <w:numId w:val="2"/>
        </w:numPr>
      </w:pPr>
      <w:r>
        <w:t>legislativní kritéria EU pro sankce</w:t>
      </w:r>
    </w:p>
    <w:p w:rsidR="00F61116" w:rsidRDefault="00F61116" w:rsidP="008B077A">
      <w:pPr>
        <w:pStyle w:val="Odstavecseseznamem"/>
        <w:numPr>
          <w:ilvl w:val="0"/>
          <w:numId w:val="2"/>
        </w:numPr>
      </w:pPr>
      <w:r>
        <w:t xml:space="preserve">více operativní </w:t>
      </w:r>
      <w:proofErr w:type="spellStart"/>
      <w:r>
        <w:t>prosazovací</w:t>
      </w:r>
      <w:proofErr w:type="spellEnd"/>
      <w:r>
        <w:t xml:space="preserve"> principy/cíle, kter</w:t>
      </w:r>
      <w:r w:rsidR="005B4618">
        <w:t>é</w:t>
      </w:r>
      <w:r>
        <w:t xml:space="preserve"> mohou být odvozen</w:t>
      </w:r>
      <w:r w:rsidR="00592FF2">
        <w:t>y</w:t>
      </w:r>
      <w:r>
        <w:t xml:space="preserve"> z těchto:</w:t>
      </w:r>
    </w:p>
    <w:p w:rsidR="00F61116" w:rsidRDefault="00F61116" w:rsidP="00F61116">
      <w:pPr>
        <w:pStyle w:val="Odstavecseseznamem"/>
        <w:numPr>
          <w:ilvl w:val="1"/>
          <w:numId w:val="2"/>
        </w:numPr>
      </w:pPr>
      <w:r>
        <w:t xml:space="preserve">zajištění, že </w:t>
      </w:r>
      <w:r w:rsidR="005B4618">
        <w:t>„</w:t>
      </w:r>
      <w:r>
        <w:t>pachatel“ nebude mít ekonomický zisk nebo výhodu z toho, že je v nesouladu s legislativou</w:t>
      </w:r>
    </w:p>
    <w:p w:rsidR="00F61116" w:rsidRDefault="00F61116" w:rsidP="00F61116">
      <w:pPr>
        <w:pStyle w:val="Odstavecseseznamem"/>
        <w:numPr>
          <w:ilvl w:val="1"/>
          <w:numId w:val="2"/>
        </w:numPr>
      </w:pPr>
      <w:r>
        <w:t>zajištění, že náklady na nápravné opatření  ponese</w:t>
      </w:r>
      <w:r w:rsidR="00B52F61">
        <w:t xml:space="preserve"> </w:t>
      </w:r>
      <w:r w:rsidR="009F26A6">
        <w:t xml:space="preserve"> „</w:t>
      </w:r>
      <w:proofErr w:type="gramStart"/>
      <w:r w:rsidR="009F26A6">
        <w:t>pachatel“</w:t>
      </w:r>
      <w:r w:rsidR="005B4618">
        <w:t xml:space="preserve">, </w:t>
      </w:r>
      <w:r>
        <w:t xml:space="preserve"> pokud</w:t>
      </w:r>
      <w:proofErr w:type="gramEnd"/>
      <w:r>
        <w:t xml:space="preserve"> je to možné </w:t>
      </w:r>
      <w:r w:rsidR="005B4618">
        <w:t xml:space="preserve"> </w:t>
      </w:r>
    </w:p>
    <w:p w:rsidR="00F61116" w:rsidRDefault="00F61116" w:rsidP="00F61116">
      <w:pPr>
        <w:pStyle w:val="Odstavecseseznamem"/>
        <w:numPr>
          <w:ilvl w:val="1"/>
          <w:numId w:val="2"/>
        </w:numPr>
      </w:pPr>
      <w:r>
        <w:t xml:space="preserve"> zajistit, aby stav nesouladu s legislativou byl ukončen co nejdříve</w:t>
      </w:r>
    </w:p>
    <w:p w:rsidR="00F61116" w:rsidRDefault="00592FF2" w:rsidP="00F61116">
      <w:pPr>
        <w:pStyle w:val="Odstavecseseznamem"/>
        <w:numPr>
          <w:ilvl w:val="1"/>
          <w:numId w:val="2"/>
        </w:numPr>
      </w:pPr>
      <w:r>
        <w:t>z</w:t>
      </w:r>
      <w:r w:rsidR="005B4618">
        <w:t xml:space="preserve">ajistit prevenci před </w:t>
      </w:r>
      <w:r>
        <w:t xml:space="preserve">možným </w:t>
      </w:r>
      <w:r w:rsidR="005B4618">
        <w:t>způsobením ekologické škody způsobené nesouladem s legislativou</w:t>
      </w:r>
    </w:p>
    <w:p w:rsidR="005B4618" w:rsidRDefault="00592FF2" w:rsidP="00F61116">
      <w:pPr>
        <w:pStyle w:val="Odstavecseseznamem"/>
        <w:numPr>
          <w:ilvl w:val="1"/>
          <w:numId w:val="2"/>
        </w:numPr>
      </w:pPr>
      <w:r>
        <w:t>zajistit</w:t>
      </w:r>
      <w:r w:rsidR="005B4618">
        <w:t xml:space="preserve"> soulad</w:t>
      </w:r>
      <w:r>
        <w:t xml:space="preserve"> s</w:t>
      </w:r>
      <w:r w:rsidR="005B4618">
        <w:t xml:space="preserve"> legislativ</w:t>
      </w:r>
      <w:r>
        <w:t>ou</w:t>
      </w:r>
      <w:r w:rsidR="005B4618">
        <w:t xml:space="preserve"> v budoucnosti, zvláště tam, kde permanentní nesoulad s legislativou nebo dlouho trvající škoda se stále opakuje</w:t>
      </w:r>
    </w:p>
    <w:p w:rsidR="000E62EA" w:rsidRDefault="00040457">
      <w:r>
        <w:t>Hodnocení rizik</w:t>
      </w:r>
    </w:p>
    <w:p w:rsidR="00040457" w:rsidRDefault="00040457">
      <w:r>
        <w:t xml:space="preserve">1 fáze – celkové ohodnocení a dopad nesouladu s legislativou </w:t>
      </w:r>
    </w:p>
    <w:p w:rsidR="00040457" w:rsidRDefault="00040457">
      <w:r>
        <w:lastRenderedPageBreak/>
        <w:t xml:space="preserve">2 fáze – strategie stanovení priorit jak strategicky zorganizovat zajištění souladu s legislativou </w:t>
      </w:r>
    </w:p>
    <w:p w:rsidR="00040457" w:rsidRDefault="00040457">
      <w:r>
        <w:t>3 fáze – inspekční plány a programy pro plánované inspekce a</w:t>
      </w:r>
      <w:r w:rsidR="00592FF2">
        <w:t xml:space="preserve"> metodika</w:t>
      </w:r>
      <w:r>
        <w:t xml:space="preserve"> jak vykonávat neplánované inspekce na základě strategie priorit</w:t>
      </w:r>
    </w:p>
    <w:p w:rsidR="005B4618" w:rsidRDefault="005B4618">
      <w:r>
        <w:t>Inspekční plány</w:t>
      </w:r>
    </w:p>
    <w:p w:rsidR="005B4618" w:rsidRDefault="005B4618">
      <w:r>
        <w:t>Plán by měl být sestavován na základě rizik. Skotský plán je sestavován na základě rizik a na základě stanovení priorit</w:t>
      </w:r>
      <w:r w:rsidR="005F01BF">
        <w:t xml:space="preserve">. Tento plán je poté zpracováván i v rámci inspekčních programů, kde je užívána terminologie </w:t>
      </w:r>
      <w:r w:rsidR="0086002E">
        <w:t xml:space="preserve">převzatá </w:t>
      </w:r>
      <w:r w:rsidR="005F01BF">
        <w:t>z doporučení RMCEI (minimálních kritérií pro inspekce životního prostředí).</w:t>
      </w:r>
    </w:p>
    <w:p w:rsidR="00E130AA" w:rsidRDefault="005F01BF">
      <w:r>
        <w:t>Jelikož navrhovaný právní instrument má být obecný, měl by být výběr úrovně a pokrytí inspekčních plánů ponecháno členským státům, aby mohly co nejlépe organizovat</w:t>
      </w:r>
      <w:r w:rsidR="00E130AA">
        <w:t xml:space="preserve"> dostupné zdroje</w:t>
      </w:r>
      <w:r>
        <w:t xml:space="preserve"> , </w:t>
      </w:r>
      <w:proofErr w:type="gramStart"/>
      <w:r>
        <w:t xml:space="preserve">musí </w:t>
      </w:r>
      <w:r w:rsidR="00E130AA">
        <w:t xml:space="preserve"> </w:t>
      </w:r>
      <w:r>
        <w:t>ale</w:t>
      </w:r>
      <w:proofErr w:type="gramEnd"/>
      <w:r>
        <w:t xml:space="preserve"> zajistit, ž</w:t>
      </w:r>
      <w:r w:rsidR="00E130AA">
        <w:t xml:space="preserve">e bude legislativa pokryta jedním nebo více plány. </w:t>
      </w:r>
      <w:r w:rsidR="00FF2066">
        <w:t xml:space="preserve"> </w:t>
      </w:r>
      <w:r w:rsidR="00592FF2">
        <w:t>Z každé</w:t>
      </w:r>
      <w:r w:rsidR="00973E9A">
        <w:t xml:space="preserve"> i</w:t>
      </w:r>
      <w:r w:rsidR="00E130AA">
        <w:t>nspek</w:t>
      </w:r>
      <w:r w:rsidR="0086002E">
        <w:t>ce</w:t>
      </w:r>
      <w:r w:rsidR="00E130AA">
        <w:t xml:space="preserve"> by měl</w:t>
      </w:r>
      <w:r w:rsidR="00FF2066">
        <w:t>a být vypracována zpráva</w:t>
      </w:r>
      <w:r w:rsidR="00E130AA">
        <w:t xml:space="preserve">, </w:t>
      </w:r>
      <w:r w:rsidR="00B52F61">
        <w:t xml:space="preserve"> </w:t>
      </w:r>
      <w:r w:rsidR="00E130AA">
        <w:t>kter</w:t>
      </w:r>
      <w:r w:rsidR="00FF2066">
        <w:t xml:space="preserve">á </w:t>
      </w:r>
      <w:r w:rsidR="00E130AA">
        <w:t xml:space="preserve"> bude </w:t>
      </w:r>
      <w:proofErr w:type="gramStart"/>
      <w:r w:rsidR="00E130AA">
        <w:t>ukládán</w:t>
      </w:r>
      <w:r w:rsidR="00FF2066">
        <w:t xml:space="preserve">a </w:t>
      </w:r>
      <w:r w:rsidR="00E130AA">
        <w:t xml:space="preserve"> elektronicky</w:t>
      </w:r>
      <w:proofErr w:type="gramEnd"/>
      <w:r w:rsidR="00B52F61">
        <w:t>.</w:t>
      </w:r>
      <w:r w:rsidR="00FF2066">
        <w:t xml:space="preserve"> </w:t>
      </w:r>
      <w:r w:rsidR="00E46072">
        <w:t xml:space="preserve"> </w:t>
      </w:r>
      <w:r w:rsidR="00973E9A">
        <w:t xml:space="preserve"> </w:t>
      </w:r>
      <w:r w:rsidR="00FF2066">
        <w:t xml:space="preserve"> </w:t>
      </w:r>
    </w:p>
    <w:p w:rsidR="00973E9A" w:rsidRDefault="00973E9A" w:rsidP="00973E9A">
      <w:r>
        <w:t>Směrnice INSPIRE předjímá dvě úrovně přístupu k prostorovým datům:</w:t>
      </w:r>
    </w:p>
    <w:p w:rsidR="00973E9A" w:rsidRDefault="00370474" w:rsidP="00973E9A">
      <w:pPr>
        <w:pStyle w:val="Odstavecseseznamem"/>
        <w:numPr>
          <w:ilvl w:val="0"/>
          <w:numId w:val="4"/>
        </w:numPr>
      </w:pPr>
      <w:r>
        <w:t>p</w:t>
      </w:r>
      <w:r w:rsidR="00973E9A">
        <w:t xml:space="preserve">řístup mezi </w:t>
      </w:r>
      <w:r w:rsidR="009F26A6">
        <w:t xml:space="preserve">různými </w:t>
      </w:r>
      <w:r w:rsidR="00973E9A">
        <w:t>státními organizacemi a</w:t>
      </w:r>
    </w:p>
    <w:p w:rsidR="00973E9A" w:rsidRDefault="00370474" w:rsidP="00973E9A">
      <w:pPr>
        <w:pStyle w:val="Odstavecseseznamem"/>
        <w:numPr>
          <w:ilvl w:val="0"/>
          <w:numId w:val="4"/>
        </w:numPr>
      </w:pPr>
      <w:r>
        <w:t>p</w:t>
      </w:r>
      <w:r w:rsidR="00973E9A">
        <w:t xml:space="preserve">řístup pro veřejnost k určitým informacím, které jsou uvedeny ve </w:t>
      </w:r>
      <w:proofErr w:type="gramStart"/>
      <w:r w:rsidR="00973E9A">
        <w:t xml:space="preserve">směrnici  o </w:t>
      </w:r>
      <w:r w:rsidR="00FF2066">
        <w:t xml:space="preserve"> </w:t>
      </w:r>
      <w:r w:rsidR="00973E9A">
        <w:t>přístupu</w:t>
      </w:r>
      <w:proofErr w:type="gramEnd"/>
      <w:r w:rsidR="00973E9A">
        <w:t xml:space="preserve"> k informacím 2003/4</w:t>
      </w:r>
    </w:p>
    <w:p w:rsidR="009C2A2D" w:rsidRDefault="009C2A2D" w:rsidP="009C2A2D">
      <w:r>
        <w:t xml:space="preserve">Problémem může být, že při zveřejňování údajů veřejnosti, </w:t>
      </w:r>
      <w:r w:rsidR="0086002E">
        <w:t>zde mohou</w:t>
      </w:r>
      <w:r>
        <w:t xml:space="preserve"> být určitě informace „citlivé“</w:t>
      </w:r>
      <w:r w:rsidR="0022121F">
        <w:t>, u</w:t>
      </w:r>
      <w:r>
        <w:t xml:space="preserve"> údajů o provozovateli, je třeba </w:t>
      </w:r>
      <w:r w:rsidR="009F26A6">
        <w:t>vzít v úvahu obchodní tajemství a ne všechny inspekční zprávy a protokoly by měly být zveřejňovány.</w:t>
      </w:r>
    </w:p>
    <w:p w:rsidR="007033EE" w:rsidRDefault="007033EE" w:rsidP="009C2A2D">
      <w:r>
        <w:t>Lenka Němcová se úč</w:t>
      </w:r>
      <w:r w:rsidR="00B60895">
        <w:t xml:space="preserve">astnila </w:t>
      </w:r>
      <w:r w:rsidR="00B60895" w:rsidRPr="00B52F61">
        <w:rPr>
          <w:b/>
        </w:rPr>
        <w:t>Sekce 6. Nové p</w:t>
      </w:r>
      <w:r w:rsidR="00292DE4" w:rsidRPr="00B52F61">
        <w:rPr>
          <w:b/>
        </w:rPr>
        <w:t>řístupy:</w:t>
      </w:r>
    </w:p>
    <w:p w:rsidR="007033EE" w:rsidRPr="00937CEF" w:rsidRDefault="000F7AF9" w:rsidP="007033E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033EE" w:rsidRPr="00937CEF">
        <w:rPr>
          <w:b/>
          <w:sz w:val="24"/>
          <w:szCs w:val="24"/>
        </w:rPr>
        <w:t>Dobrovolné dohody s průmyslem</w:t>
      </w:r>
    </w:p>
    <w:p w:rsidR="007033EE" w:rsidRPr="008670D8" w:rsidRDefault="007033EE" w:rsidP="007033EE">
      <w:pPr>
        <w:jc w:val="both"/>
      </w:pPr>
      <w:r w:rsidRPr="008670D8">
        <w:t xml:space="preserve">Jakub </w:t>
      </w:r>
      <w:proofErr w:type="spellStart"/>
      <w:r w:rsidRPr="008670D8">
        <w:t>Achrer</w:t>
      </w:r>
      <w:proofErr w:type="spellEnd"/>
      <w:r w:rsidRPr="008670D8">
        <w:t xml:space="preserve"> z MŽP informoval o dobrovolných dohodách s průmyslem v ČR. Vzhledem ke špatné kvalitě ovzduší v ČR navzdory tomu, že průmyslová zařízení jsou většinou v souladu s legislativou – směrnicí o průmyslových emisích a směrnicí o národních emisních stropech a navzdory snižování emisí je kvalita ovzduší dosud neuspokojivá, zvláště, co se týká PM</w:t>
      </w:r>
      <w:r w:rsidRPr="008670D8">
        <w:rPr>
          <w:vertAlign w:val="subscript"/>
        </w:rPr>
        <w:t>10</w:t>
      </w:r>
      <w:r w:rsidRPr="008670D8">
        <w:t>, PM</w:t>
      </w:r>
      <w:r w:rsidRPr="008670D8">
        <w:rPr>
          <w:vertAlign w:val="subscript"/>
        </w:rPr>
        <w:t>2,5</w:t>
      </w:r>
      <w:r w:rsidRPr="008670D8">
        <w:t xml:space="preserve">, </w:t>
      </w:r>
      <w:proofErr w:type="spellStart"/>
      <w:r w:rsidRPr="00370474">
        <w:t>NO</w:t>
      </w:r>
      <w:r w:rsidR="00370474">
        <w:rPr>
          <w:vertAlign w:val="subscript"/>
        </w:rPr>
        <w:t>x</w:t>
      </w:r>
      <w:proofErr w:type="spellEnd"/>
      <w:r w:rsidRPr="008670D8">
        <w:rPr>
          <w:vertAlign w:val="subscript"/>
        </w:rPr>
        <w:t xml:space="preserve"> </w:t>
      </w:r>
      <w:r w:rsidRPr="008670D8">
        <w:t>a přízemnímu ozonu.</w:t>
      </w:r>
      <w:r w:rsidRPr="008670D8">
        <w:rPr>
          <w:vertAlign w:val="subscript"/>
        </w:rPr>
        <w:t xml:space="preserve"> </w:t>
      </w:r>
      <w:r w:rsidRPr="008670D8">
        <w:t xml:space="preserve"> Nejhorší je situace v severních Čechách a Moravskoslezském kraji, zvláště v zimním období. Znečištění nepochází pouze z průmyslových zařízení, to tvoří pouze 25%, dalších 25% pochází z domácích topenišť, 25% z dopravy a 25% připadá na povětrnostní vlivy – znečištění z Polska. Je zde ale stále místo pro zlepšení i ze strany průmyslu, a to pomocí uzavírání dobrovolných dohod</w:t>
      </w:r>
      <w:r w:rsidR="00D044C9" w:rsidRPr="008670D8">
        <w:t xml:space="preserve"> </w:t>
      </w:r>
      <w:r w:rsidRPr="008670D8">
        <w:t>Dobrovolné dohody byly uzavřeny se čtyřmi průmyslovými podniky, a to Deklarace o strategické spolupráci mezi MŽP a ČEZ, Memorandum o porozumění se Severočeskými doly „Stop prachu“, dobrovolná dohoda s </w:t>
      </w:r>
      <w:proofErr w:type="spellStart"/>
      <w:r w:rsidRPr="008670D8">
        <w:t>ArcelorMittal</w:t>
      </w:r>
      <w:proofErr w:type="spellEnd"/>
      <w:r w:rsidRPr="008670D8">
        <w:t xml:space="preserve"> Ostrava a dobrovolná dohoda s</w:t>
      </w:r>
      <w:r w:rsidR="00B52F61" w:rsidRPr="008670D8">
        <w:t xml:space="preserve"> </w:t>
      </w:r>
      <w:r w:rsidRPr="008670D8">
        <w:t> </w:t>
      </w:r>
      <w:proofErr w:type="spellStart"/>
      <w:r w:rsidRPr="008670D8">
        <w:t>BordoChem</w:t>
      </w:r>
      <w:proofErr w:type="spellEnd"/>
      <w:r w:rsidRPr="008670D8">
        <w:t xml:space="preserve"> MCHZ, s.</w:t>
      </w:r>
      <w:proofErr w:type="gramStart"/>
      <w:r w:rsidRPr="008670D8">
        <w:t>r.o..</w:t>
      </w:r>
      <w:proofErr w:type="gramEnd"/>
      <w:r w:rsidRPr="008670D8">
        <w:t xml:space="preserve">  Všechny dobrovolné dohody mají jistá pozitivní a užitečná opatření, ale také mají své limity a slabé stránky. Zatím se jako nejúspěšnější jeví Memorandum o porozumění „Stop prachu“ se Severočeskými doly, v rámci něhož se uhlí skladuje mimo města a lidská obydlí, bylo investováno do ústředního topení pro obyvatele, byly zasazeny stromy a proběhly přednášky ve školách o škodlivosti pálení domácího odpadu. Jedinou slabou stránkou je, že memorandum je právně nezávazné.</w:t>
      </w:r>
    </w:p>
    <w:p w:rsidR="007033EE" w:rsidRPr="008670D8" w:rsidRDefault="007033EE" w:rsidP="007033EE">
      <w:pPr>
        <w:jc w:val="both"/>
        <w:rPr>
          <w:b/>
        </w:rPr>
      </w:pPr>
    </w:p>
    <w:p w:rsidR="007033EE" w:rsidRPr="008670D8" w:rsidRDefault="007033EE" w:rsidP="007033EE">
      <w:pPr>
        <w:jc w:val="both"/>
        <w:rPr>
          <w:b/>
        </w:rPr>
      </w:pPr>
      <w:r w:rsidRPr="008670D8">
        <w:rPr>
          <w:b/>
        </w:rPr>
        <w:lastRenderedPageBreak/>
        <w:t>Polský systém pro pozastavení pokuty jako mechanismu pro podporu investic do životního prostředí</w:t>
      </w:r>
    </w:p>
    <w:p w:rsidR="007033EE" w:rsidRPr="008670D8" w:rsidRDefault="007033EE" w:rsidP="007033EE">
      <w:pPr>
        <w:jc w:val="both"/>
      </w:pPr>
      <w:proofErr w:type="spellStart"/>
      <w:r w:rsidRPr="008670D8">
        <w:t>Krzystof</w:t>
      </w:r>
      <w:proofErr w:type="spellEnd"/>
      <w:r w:rsidRPr="008670D8">
        <w:t xml:space="preserve"> </w:t>
      </w:r>
      <w:proofErr w:type="spellStart"/>
      <w:r w:rsidRPr="008670D8">
        <w:t>Wojcik</w:t>
      </w:r>
      <w:proofErr w:type="spellEnd"/>
      <w:r w:rsidRPr="008670D8">
        <w:t xml:space="preserve"> seznámil účastníky s polským systémem pozastavení pokut. Pokud inspektor zjistí nesoulad se zákonem, musí závazně uložit pokutu dle příslušného zákona, pokud ale provozovatel podepíše dohodu s Inspektorátem, ve které se zaváže k modernizaci zařízení, tak </w:t>
      </w:r>
      <w:proofErr w:type="spellStart"/>
      <w:r w:rsidRPr="008670D8">
        <w:t>abysplňovalo</w:t>
      </w:r>
      <w:proofErr w:type="spellEnd"/>
      <w:r w:rsidRPr="008670D8">
        <w:t xml:space="preserve"> všechny standardy, tak pak je možné pokutu pozastavit, nejdéle však na pět let. Po této době, pokud bude zařízení plně v souladu s legislativou, pokuta bude snížena o prostředky, které provozovatel vynaložil na modernizaci, pokud modernizace byla dražší, než by měla být vyměřená pokuta, pak mu pokuta nebude udělena. V</w:t>
      </w:r>
      <w:r w:rsidR="00370474">
        <w:t> </w:t>
      </w:r>
      <w:proofErr w:type="gramStart"/>
      <w:r w:rsidRPr="008670D8">
        <w:t>případ</w:t>
      </w:r>
      <w:proofErr w:type="gramEnd"/>
      <w:r w:rsidR="00370474">
        <w:t>, že</w:t>
      </w:r>
      <w:r w:rsidRPr="008670D8">
        <w:t xml:space="preserve"> provozovatel neprovede modernizaci v dohodnutém termínu, zaplatí pokutu vyšší.</w:t>
      </w:r>
    </w:p>
    <w:p w:rsidR="007033EE" w:rsidRPr="008670D8" w:rsidRDefault="007033EE" w:rsidP="007033EE">
      <w:pPr>
        <w:jc w:val="both"/>
        <w:rPr>
          <w:b/>
        </w:rPr>
      </w:pPr>
      <w:r w:rsidRPr="008670D8">
        <w:rPr>
          <w:b/>
        </w:rPr>
        <w:t>Udržitelný rozvoj v průmyslu</w:t>
      </w:r>
    </w:p>
    <w:p w:rsidR="007033EE" w:rsidRDefault="007033EE" w:rsidP="007033EE">
      <w:pPr>
        <w:jc w:val="both"/>
      </w:pPr>
      <w:proofErr w:type="spellStart"/>
      <w:r w:rsidRPr="008670D8">
        <w:t>Torbjorn</w:t>
      </w:r>
      <w:proofErr w:type="spellEnd"/>
      <w:r w:rsidRPr="008670D8">
        <w:t xml:space="preserve"> </w:t>
      </w:r>
      <w:proofErr w:type="spellStart"/>
      <w:r w:rsidRPr="008670D8">
        <w:t>Brorson</w:t>
      </w:r>
      <w:proofErr w:type="spellEnd"/>
      <w:r w:rsidRPr="008670D8">
        <w:t xml:space="preserve"> pracuje již více než 25 let ve vedoucích pozicích (poradce pro oblast životního prostředí) v nadnárodních firmách a deset let učí na univerzitě v Lundu.</w:t>
      </w:r>
      <w:r w:rsidR="00370474">
        <w:t xml:space="preserve"> </w:t>
      </w:r>
      <w:r w:rsidRPr="008670D8">
        <w:t>Podle chování a zapracovávání nových trendů a nových legislativních požadavků se ve Švédsku dělí podniky na pasivní (14%), reagující na požadavky (28%), aktivně reagující na požadavky (</w:t>
      </w:r>
      <w:proofErr w:type="gramStart"/>
      <w:r w:rsidRPr="008670D8">
        <w:t>31%)   proaktivní</w:t>
      </w:r>
      <w:proofErr w:type="gramEnd"/>
      <w:r w:rsidRPr="008670D8">
        <w:t xml:space="preserve"> (24%) a lídry (3%). Přičemž mezi pasivními je většina malých podniků, které zaměstnávají 1 – 49 zaměstnanců a mezi lídry jsou velké podniky s více než 500 zaměstnanci. Z toho vyplývá, že je potřeba pomáhat s vysvětlováním legislativy hlavně malým a středním podnikům. Ve Švédsku je dobrou praxí, že místní úřady pravidelně pořádají tzv. „společné snídaně“, na kterých představitele firem, které zaměstnávají od 1 do 10 zaměstnanců, seznamují s již existující i novou legislativu a velmi se jim to v praxi osvědčilo.  U proaktivních podniků a lídrů je manažerský systém zaveden na všech úrovních a jsou stanoveny principy pro ochranu zdraví, bezpečnosti a je přihlíženo k aspektům životního prostředí. Probíhá zde otevřená komunikace, jak o úspěších, tak o problémech a je vypracovávána transparentní zpráva o udržitelném rozvoji. </w:t>
      </w:r>
      <w:r w:rsidR="00682119" w:rsidRPr="008670D8">
        <w:t>T.</w:t>
      </w:r>
      <w:r w:rsidRPr="008670D8">
        <w:t xml:space="preserve"> </w:t>
      </w:r>
      <w:proofErr w:type="spellStart"/>
      <w:r w:rsidRPr="008670D8">
        <w:t>Brorson</w:t>
      </w:r>
      <w:proofErr w:type="spellEnd"/>
      <w:r w:rsidRPr="008670D8">
        <w:t xml:space="preserve"> uvedl, že se setkal s velmi malými znalostmi inspektorů, co se týká manažerských systémů podniků (ISO 14 001, EMAS). Ve Švédsku je připraven jednosemestrální kurz pro inspektory na univerzitě a je třeba inspektory v této oblasti i nadále vzdělávat. Dále uvedl, že i inspektoři by zvláště malým a středním firmám měli pomáhat s pochopením nové legislativy v oblasti životního prostředí.</w:t>
      </w:r>
    </w:p>
    <w:p w:rsidR="00370474" w:rsidRPr="008670D8" w:rsidRDefault="00370474" w:rsidP="00370474">
      <w:pPr>
        <w:jc w:val="both"/>
      </w:pPr>
      <w:r>
        <w:rPr>
          <w:b/>
        </w:rPr>
        <w:t xml:space="preserve">Příprava na </w:t>
      </w:r>
      <w:r w:rsidRPr="008670D8">
        <w:rPr>
          <w:b/>
        </w:rPr>
        <w:t>Valné shromáždění v Litvě</w:t>
      </w:r>
      <w:r w:rsidRPr="008670D8">
        <w:t xml:space="preserve"> – L. Němcová</w:t>
      </w:r>
    </w:p>
    <w:p w:rsidR="00370474" w:rsidRPr="008670D8" w:rsidRDefault="00370474" w:rsidP="00370474">
      <w:pPr>
        <w:jc w:val="both"/>
      </w:pPr>
      <w:r w:rsidRPr="008670D8">
        <w:t xml:space="preserve">První den proběhne schůzka pro národní koordinátory IMPEL. Druhý den Valného shromáždění bude podána zpráva o této schůzce, zástupce EK bude informovat o nové a projednávané legislativě EU a zástupce Bio </w:t>
      </w:r>
      <w:proofErr w:type="spellStart"/>
      <w:r w:rsidRPr="008670D8">
        <w:t>Intelligence</w:t>
      </w:r>
      <w:proofErr w:type="spellEnd"/>
      <w:r w:rsidRPr="008670D8">
        <w:t xml:space="preserve"> </w:t>
      </w:r>
      <w:proofErr w:type="spellStart"/>
      <w:r w:rsidRPr="008670D8">
        <w:t>Services</w:t>
      </w:r>
      <w:proofErr w:type="spellEnd"/>
      <w:r w:rsidRPr="008670D8">
        <w:t xml:space="preserve"> přednese zprávu o hodnocení sítě IMPEL. Dále proběhne diskuse v několika skupinách o budoucnosti sítě IMPEL a strategii a na závěr budou projednány organizační záležitosti – čerpání rozpočtu, nové umístění Sekretariátu IMPEL a jeho rozšíření o experta na komunikaci, úhrada členských poplatků </w:t>
      </w:r>
      <w:proofErr w:type="gramStart"/>
      <w:r w:rsidRPr="008670D8">
        <w:t>atd..</w:t>
      </w:r>
      <w:proofErr w:type="gramEnd"/>
      <w:r w:rsidRPr="008670D8">
        <w:t xml:space="preserve"> Třetí den bude podána informace o IMPEL konferenci, která se konala ve dnech 1. – 4. října na Maltě.  Budou podány zprávy o ukončených projektech:</w:t>
      </w:r>
    </w:p>
    <w:p w:rsidR="00370474" w:rsidRPr="008670D8" w:rsidRDefault="00370474" w:rsidP="00370474">
      <w:pPr>
        <w:pStyle w:val="Odstavecseseznamem"/>
        <w:numPr>
          <w:ilvl w:val="0"/>
          <w:numId w:val="8"/>
        </w:numPr>
        <w:jc w:val="both"/>
      </w:pPr>
      <w:r w:rsidRPr="008670D8">
        <w:t>Budování kapacit IMPEL v ochraně přírody</w:t>
      </w:r>
    </w:p>
    <w:p w:rsidR="00370474" w:rsidRPr="008670D8" w:rsidRDefault="00370474" w:rsidP="00370474">
      <w:pPr>
        <w:pStyle w:val="Odstavecseseznamem"/>
        <w:numPr>
          <w:ilvl w:val="0"/>
          <w:numId w:val="8"/>
        </w:numPr>
        <w:jc w:val="both"/>
      </w:pPr>
      <w:r w:rsidRPr="008670D8">
        <w:t>Energetická efektivita při povolování a inspekcích</w:t>
      </w:r>
    </w:p>
    <w:p w:rsidR="00370474" w:rsidRPr="008670D8" w:rsidRDefault="00370474" w:rsidP="00370474">
      <w:pPr>
        <w:pStyle w:val="Odstavecseseznamem"/>
        <w:numPr>
          <w:ilvl w:val="0"/>
          <w:numId w:val="8"/>
        </w:numPr>
        <w:jc w:val="both"/>
      </w:pPr>
      <w:r w:rsidRPr="008670D8">
        <w:t>Směrnice o průmyslových emisích a nařízení REACH</w:t>
      </w:r>
    </w:p>
    <w:p w:rsidR="00370474" w:rsidRPr="008670D8" w:rsidRDefault="00370474" w:rsidP="00370474">
      <w:pPr>
        <w:pStyle w:val="Odstavecseseznamem"/>
        <w:numPr>
          <w:ilvl w:val="0"/>
          <w:numId w:val="8"/>
        </w:numPr>
        <w:jc w:val="both"/>
      </w:pPr>
      <w:r w:rsidRPr="008670D8">
        <w:t>Výběr vhodných intervencí vedle inspekcí k zajištění souladu s legislativou</w:t>
      </w:r>
    </w:p>
    <w:p w:rsidR="00370474" w:rsidRPr="008670D8" w:rsidRDefault="00370474" w:rsidP="00370474">
      <w:pPr>
        <w:pStyle w:val="Odstavecseseznamem"/>
        <w:numPr>
          <w:ilvl w:val="0"/>
          <w:numId w:val="8"/>
        </w:numPr>
        <w:jc w:val="both"/>
      </w:pPr>
      <w:r w:rsidRPr="008670D8">
        <w:t>Inspekční cyklus</w:t>
      </w:r>
    </w:p>
    <w:p w:rsidR="00370474" w:rsidRPr="008670D8" w:rsidRDefault="00370474" w:rsidP="00370474">
      <w:pPr>
        <w:pStyle w:val="Odstavecseseznamem"/>
        <w:numPr>
          <w:ilvl w:val="0"/>
          <w:numId w:val="8"/>
        </w:numPr>
        <w:jc w:val="both"/>
      </w:pPr>
      <w:r w:rsidRPr="008670D8">
        <w:lastRenderedPageBreak/>
        <w:t>Povolení podle směrnice o průmyslových emisích</w:t>
      </w:r>
    </w:p>
    <w:p w:rsidR="00370474" w:rsidRPr="008670D8" w:rsidRDefault="00370474" w:rsidP="00370474">
      <w:pPr>
        <w:pStyle w:val="Odstavecseseznamem"/>
        <w:numPr>
          <w:ilvl w:val="0"/>
          <w:numId w:val="8"/>
        </w:numPr>
        <w:jc w:val="both"/>
      </w:pPr>
      <w:r w:rsidRPr="008670D8">
        <w:t>IRI Finsko</w:t>
      </w:r>
    </w:p>
    <w:p w:rsidR="00370474" w:rsidRPr="008670D8" w:rsidRDefault="00370474" w:rsidP="00370474">
      <w:pPr>
        <w:pStyle w:val="Odstavecseseznamem"/>
        <w:numPr>
          <w:ilvl w:val="0"/>
          <w:numId w:val="8"/>
        </w:numPr>
        <w:jc w:val="both"/>
      </w:pPr>
      <w:r w:rsidRPr="008670D8">
        <w:t>IRI Polsko</w:t>
      </w:r>
    </w:p>
    <w:p w:rsidR="00370474" w:rsidRPr="008670D8" w:rsidRDefault="00370474" w:rsidP="00370474">
      <w:pPr>
        <w:pStyle w:val="Odstavecseseznamem"/>
        <w:numPr>
          <w:ilvl w:val="0"/>
          <w:numId w:val="8"/>
        </w:numPr>
        <w:jc w:val="both"/>
      </w:pPr>
      <w:r w:rsidRPr="008670D8">
        <w:t>IMPEL TFS konference</w:t>
      </w:r>
    </w:p>
    <w:p w:rsidR="00370474" w:rsidRPr="008670D8" w:rsidRDefault="00370474" w:rsidP="00370474">
      <w:pPr>
        <w:pStyle w:val="Odstavecseseznamem"/>
        <w:numPr>
          <w:ilvl w:val="0"/>
          <w:numId w:val="8"/>
        </w:numPr>
        <w:jc w:val="both"/>
      </w:pPr>
      <w:r w:rsidRPr="008670D8">
        <w:t>Požadavky ochrany přírody při povolování a inspekcích průmyslových zařízení</w:t>
      </w:r>
    </w:p>
    <w:p w:rsidR="00370474" w:rsidRPr="008670D8" w:rsidRDefault="00370474" w:rsidP="00370474">
      <w:pPr>
        <w:jc w:val="both"/>
      </w:pPr>
      <w:r w:rsidRPr="008670D8">
        <w:t>Návrhy nových projektů:</w:t>
      </w:r>
    </w:p>
    <w:p w:rsidR="00370474" w:rsidRPr="008670D8" w:rsidRDefault="00370474" w:rsidP="00370474">
      <w:pPr>
        <w:pStyle w:val="Odstavecseseznamem"/>
        <w:numPr>
          <w:ilvl w:val="0"/>
          <w:numId w:val="9"/>
        </w:numPr>
        <w:jc w:val="both"/>
      </w:pPr>
      <w:r w:rsidRPr="008670D8">
        <w:t>Ochrana přírody při povolování a inspekcích průmyslových zařízení – implementace čl. 6(3) směrnice o stanovištích</w:t>
      </w:r>
    </w:p>
    <w:p w:rsidR="00370474" w:rsidRPr="008670D8" w:rsidRDefault="00370474" w:rsidP="00370474">
      <w:pPr>
        <w:pStyle w:val="Odstavecseseznamem"/>
        <w:numPr>
          <w:ilvl w:val="0"/>
          <w:numId w:val="9"/>
        </w:numPr>
        <w:jc w:val="both"/>
      </w:pPr>
      <w:r w:rsidRPr="008670D8">
        <w:t xml:space="preserve">Kritéria rizik při určování priorit pro inspekce </w:t>
      </w:r>
    </w:p>
    <w:p w:rsidR="00370474" w:rsidRPr="008670D8" w:rsidRDefault="00370474" w:rsidP="00370474">
      <w:pPr>
        <w:pStyle w:val="Odstavecseseznamem"/>
        <w:numPr>
          <w:ilvl w:val="0"/>
          <w:numId w:val="9"/>
        </w:numPr>
        <w:jc w:val="both"/>
      </w:pPr>
      <w:r w:rsidRPr="008670D8">
        <w:t>Lepší prosaditelnost legislativy životního prostředí</w:t>
      </w:r>
    </w:p>
    <w:p w:rsidR="00370474" w:rsidRPr="008670D8" w:rsidRDefault="00370474" w:rsidP="00370474">
      <w:pPr>
        <w:pStyle w:val="Odstavecseseznamem"/>
        <w:numPr>
          <w:ilvl w:val="0"/>
          <w:numId w:val="9"/>
        </w:numPr>
        <w:jc w:val="both"/>
      </w:pPr>
      <w:r w:rsidRPr="008670D8">
        <w:t>Porozumění nesouladu s legislativou skrze celé spektrum legislativy životního prostředí</w:t>
      </w:r>
    </w:p>
    <w:p w:rsidR="00370474" w:rsidRPr="008670D8" w:rsidRDefault="00370474" w:rsidP="00370474">
      <w:pPr>
        <w:pStyle w:val="Odstavecseseznamem"/>
        <w:numPr>
          <w:ilvl w:val="0"/>
          <w:numId w:val="9"/>
        </w:numPr>
        <w:jc w:val="both"/>
      </w:pPr>
      <w:r w:rsidRPr="008670D8">
        <w:t>Zlepšení souladu s legislativou skrze manažerské systémy podniků</w:t>
      </w:r>
    </w:p>
    <w:p w:rsidR="00370474" w:rsidRPr="008670D8" w:rsidRDefault="00370474" w:rsidP="00370474">
      <w:pPr>
        <w:pStyle w:val="Odstavecseseznamem"/>
        <w:numPr>
          <w:ilvl w:val="0"/>
          <w:numId w:val="9"/>
        </w:numPr>
        <w:jc w:val="both"/>
      </w:pPr>
      <w:r w:rsidRPr="008670D8">
        <w:t>Výběr vhodných intervencí kromě inspekcí k zajištění souladu s legislativou</w:t>
      </w:r>
    </w:p>
    <w:p w:rsidR="00370474" w:rsidRPr="008670D8" w:rsidRDefault="00370474" w:rsidP="00370474">
      <w:pPr>
        <w:pStyle w:val="Odstavecseseznamem"/>
        <w:numPr>
          <w:ilvl w:val="0"/>
          <w:numId w:val="9"/>
        </w:numPr>
        <w:jc w:val="both"/>
      </w:pPr>
      <w:r w:rsidRPr="008670D8">
        <w:t>Implementace BREFS (TIMBRE)</w:t>
      </w:r>
    </w:p>
    <w:p w:rsidR="00370474" w:rsidRPr="008670D8" w:rsidRDefault="00370474" w:rsidP="00370474">
      <w:pPr>
        <w:pStyle w:val="Odstavecseseznamem"/>
        <w:numPr>
          <w:ilvl w:val="0"/>
          <w:numId w:val="9"/>
        </w:numPr>
        <w:jc w:val="both"/>
      </w:pPr>
      <w:r w:rsidRPr="008670D8">
        <w:t>Směrnice o průmyslových emisích a REACH</w:t>
      </w:r>
    </w:p>
    <w:p w:rsidR="00370474" w:rsidRPr="008670D8" w:rsidRDefault="00370474" w:rsidP="00370474">
      <w:pPr>
        <w:pStyle w:val="Odstavecseseznamem"/>
        <w:numPr>
          <w:ilvl w:val="0"/>
          <w:numId w:val="9"/>
        </w:numPr>
        <w:jc w:val="both"/>
      </w:pPr>
      <w:r w:rsidRPr="008670D8">
        <w:t>Nelegální zabíjení ptáků</w:t>
      </w:r>
    </w:p>
    <w:p w:rsidR="00370474" w:rsidRPr="008670D8" w:rsidRDefault="00370474" w:rsidP="00370474">
      <w:pPr>
        <w:pStyle w:val="Odstavecseseznamem"/>
        <w:numPr>
          <w:ilvl w:val="0"/>
          <w:numId w:val="9"/>
        </w:numPr>
        <w:jc w:val="both"/>
      </w:pPr>
      <w:r w:rsidRPr="008670D8">
        <w:t>Sdílení dobré praxe v sektoru zemědělství</w:t>
      </w:r>
    </w:p>
    <w:p w:rsidR="00370474" w:rsidRPr="008670D8" w:rsidRDefault="00370474" w:rsidP="00370474">
      <w:pPr>
        <w:pStyle w:val="Odstavecseseznamem"/>
        <w:numPr>
          <w:ilvl w:val="0"/>
          <w:numId w:val="9"/>
        </w:numPr>
        <w:jc w:val="both"/>
      </w:pPr>
      <w:r w:rsidRPr="008670D8">
        <w:t>Projekt o skládkách 2014</w:t>
      </w:r>
    </w:p>
    <w:p w:rsidR="00370474" w:rsidRPr="008670D8" w:rsidRDefault="00370474" w:rsidP="00370474">
      <w:pPr>
        <w:pStyle w:val="Odstavecseseznamem"/>
        <w:numPr>
          <w:ilvl w:val="0"/>
          <w:numId w:val="9"/>
        </w:numPr>
        <w:jc w:val="both"/>
      </w:pPr>
      <w:r w:rsidRPr="008670D8">
        <w:t>IRI Malta</w:t>
      </w:r>
    </w:p>
    <w:p w:rsidR="00370474" w:rsidRPr="008670D8" w:rsidRDefault="00370474" w:rsidP="00370474">
      <w:pPr>
        <w:pStyle w:val="Odstavecseseznamem"/>
        <w:numPr>
          <w:ilvl w:val="0"/>
          <w:numId w:val="9"/>
        </w:numPr>
        <w:jc w:val="both"/>
      </w:pPr>
      <w:r w:rsidRPr="008670D8">
        <w:t>IRI Litva</w:t>
      </w:r>
    </w:p>
    <w:p w:rsidR="00370474" w:rsidRPr="008670D8" w:rsidRDefault="00370474" w:rsidP="00370474">
      <w:pPr>
        <w:pStyle w:val="Odstavecseseznamem"/>
        <w:numPr>
          <w:ilvl w:val="0"/>
          <w:numId w:val="9"/>
        </w:numPr>
        <w:jc w:val="both"/>
      </w:pPr>
      <w:r w:rsidRPr="008670D8">
        <w:t>IRI Nizozemí</w:t>
      </w:r>
    </w:p>
    <w:p w:rsidR="00370474" w:rsidRPr="008670D8" w:rsidRDefault="00370474" w:rsidP="00370474">
      <w:pPr>
        <w:pStyle w:val="Odstavecseseznamem"/>
        <w:numPr>
          <w:ilvl w:val="0"/>
          <w:numId w:val="9"/>
        </w:numPr>
        <w:jc w:val="both"/>
      </w:pPr>
      <w:r w:rsidRPr="008670D8">
        <w:t>Využití prosaditelných a praktických kontrolních listů při inspekcích</w:t>
      </w:r>
    </w:p>
    <w:p w:rsidR="00370474" w:rsidRPr="008670D8" w:rsidRDefault="00370474" w:rsidP="00370474">
      <w:pPr>
        <w:pStyle w:val="Odstavecseseznamem"/>
        <w:numPr>
          <w:ilvl w:val="0"/>
          <w:numId w:val="9"/>
        </w:numPr>
        <w:jc w:val="both"/>
      </w:pPr>
      <w:r w:rsidRPr="008670D8">
        <w:t>Sdílení návrhů pro méně striktní hodnotu emisních limitů než je uvedeno v BAT</w:t>
      </w:r>
    </w:p>
    <w:p w:rsidR="00370474" w:rsidRPr="008670D8" w:rsidRDefault="00370474" w:rsidP="00370474">
      <w:pPr>
        <w:pStyle w:val="Odstavecseseznamem"/>
        <w:numPr>
          <w:ilvl w:val="0"/>
          <w:numId w:val="9"/>
        </w:numPr>
        <w:jc w:val="both"/>
      </w:pPr>
      <w:r w:rsidRPr="008670D8">
        <w:t>Nejlepší praxe pro NCP</w:t>
      </w:r>
    </w:p>
    <w:p w:rsidR="00370474" w:rsidRPr="008670D8" w:rsidRDefault="00370474" w:rsidP="00370474">
      <w:pPr>
        <w:pStyle w:val="Odstavecseseznamem"/>
        <w:numPr>
          <w:ilvl w:val="0"/>
          <w:numId w:val="9"/>
        </w:numPr>
        <w:jc w:val="both"/>
      </w:pPr>
      <w:r w:rsidRPr="008670D8">
        <w:t>IMPEL TFS konference</w:t>
      </w:r>
    </w:p>
    <w:p w:rsidR="00370474" w:rsidRPr="008670D8" w:rsidRDefault="00370474" w:rsidP="00370474">
      <w:pPr>
        <w:pStyle w:val="Odstavecseseznamem"/>
        <w:numPr>
          <w:ilvl w:val="0"/>
          <w:numId w:val="9"/>
        </w:numPr>
        <w:jc w:val="both"/>
      </w:pPr>
      <w:r w:rsidRPr="008670D8">
        <w:t xml:space="preserve">Nástroj pro posouzení dopadu nové a již </w:t>
      </w:r>
      <w:proofErr w:type="gramStart"/>
      <w:r w:rsidRPr="008670D8">
        <w:t>existující  legislativy</w:t>
      </w:r>
      <w:proofErr w:type="gramEnd"/>
      <w:r w:rsidRPr="008670D8">
        <w:t xml:space="preserve"> pro přeshraniční přepravu odpadů</w:t>
      </w:r>
    </w:p>
    <w:p w:rsidR="00370474" w:rsidRPr="008670D8" w:rsidRDefault="00370474" w:rsidP="00370474">
      <w:pPr>
        <w:pStyle w:val="Odstavecseseznamem"/>
        <w:numPr>
          <w:ilvl w:val="0"/>
          <w:numId w:val="9"/>
        </w:numPr>
        <w:jc w:val="both"/>
      </w:pPr>
      <w:r w:rsidRPr="008670D8">
        <w:t>Zlepšení výměny informací TFS</w:t>
      </w:r>
    </w:p>
    <w:p w:rsidR="00370474" w:rsidRPr="008670D8" w:rsidRDefault="00370474" w:rsidP="00370474">
      <w:pPr>
        <w:pStyle w:val="Odstavecseseznamem"/>
        <w:numPr>
          <w:ilvl w:val="0"/>
          <w:numId w:val="9"/>
        </w:numPr>
        <w:jc w:val="both"/>
      </w:pPr>
      <w:proofErr w:type="spellStart"/>
      <w:r w:rsidRPr="008670D8">
        <w:t>Prosazovací</w:t>
      </w:r>
      <w:proofErr w:type="spellEnd"/>
      <w:r w:rsidRPr="008670D8">
        <w:t xml:space="preserve"> akce TFS IV</w:t>
      </w:r>
    </w:p>
    <w:p w:rsidR="00370474" w:rsidRPr="008670D8" w:rsidRDefault="00370474" w:rsidP="00370474">
      <w:pPr>
        <w:pStyle w:val="Odstavecseseznamem"/>
        <w:numPr>
          <w:ilvl w:val="0"/>
          <w:numId w:val="9"/>
        </w:numPr>
        <w:jc w:val="both"/>
      </w:pPr>
      <w:r w:rsidRPr="008670D8">
        <w:t>Projekt státních zástupců 2014</w:t>
      </w:r>
    </w:p>
    <w:p w:rsidR="00370474" w:rsidRPr="008670D8" w:rsidRDefault="00370474" w:rsidP="00370474">
      <w:pPr>
        <w:pStyle w:val="Odstavecseseznamem"/>
        <w:numPr>
          <w:ilvl w:val="0"/>
          <w:numId w:val="9"/>
        </w:numPr>
        <w:jc w:val="both"/>
      </w:pPr>
      <w:r w:rsidRPr="008670D8">
        <w:t>Spolupráce se zeměmi v Africe a Asii</w:t>
      </w:r>
    </w:p>
    <w:p w:rsidR="00370474" w:rsidRPr="00370474" w:rsidRDefault="00370474" w:rsidP="007033EE">
      <w:pPr>
        <w:pStyle w:val="Odstavecseseznamem"/>
        <w:numPr>
          <w:ilvl w:val="0"/>
          <w:numId w:val="9"/>
        </w:numPr>
        <w:jc w:val="both"/>
        <w:rPr>
          <w:b/>
        </w:rPr>
      </w:pPr>
      <w:r>
        <w:t>Kde končí odpad</w:t>
      </w:r>
    </w:p>
    <w:p w:rsidR="006D2CA9" w:rsidRDefault="006D2CA9" w:rsidP="00C93C46">
      <w:pPr>
        <w:jc w:val="both"/>
        <w:rPr>
          <w:b/>
        </w:rPr>
      </w:pPr>
      <w:r>
        <w:rPr>
          <w:b/>
        </w:rPr>
        <w:t xml:space="preserve"> </w:t>
      </w:r>
    </w:p>
    <w:p w:rsidR="00C93C46" w:rsidRDefault="00C93C46" w:rsidP="00C93C46">
      <w:pPr>
        <w:jc w:val="both"/>
      </w:pPr>
      <w:r w:rsidRPr="00C20CF3">
        <w:rPr>
          <w:b/>
        </w:rPr>
        <w:t>Informace o celoevropských projektech REACH-EN-FORCE</w:t>
      </w:r>
      <w:r>
        <w:t xml:space="preserve"> – O. Jarolím</w:t>
      </w:r>
    </w:p>
    <w:p w:rsidR="00C93C46" w:rsidRDefault="00C93C46" w:rsidP="00C93C46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</w:p>
    <w:p w:rsidR="00C93C46" w:rsidRPr="008670D8" w:rsidRDefault="00C93C46" w:rsidP="00C93C46">
      <w:pPr>
        <w:spacing w:after="0" w:line="240" w:lineRule="auto"/>
        <w:rPr>
          <w:rFonts w:ascii="Segoe UI" w:eastAsia="Times New Roman" w:hAnsi="Segoe UI" w:cs="Segoe UI"/>
          <w:lang w:eastAsia="cs-CZ"/>
        </w:rPr>
      </w:pPr>
      <w:r w:rsidRPr="008670D8">
        <w:rPr>
          <w:rFonts w:ascii="Segoe UI" w:eastAsia="Times New Roman" w:hAnsi="Segoe UI" w:cs="Segoe UI"/>
          <w:lang w:eastAsia="cs-CZ"/>
        </w:rPr>
        <w:t>Celoevropské projekty REACH-EN-FORCE</w:t>
      </w:r>
    </w:p>
    <w:p w:rsidR="00C93C46" w:rsidRPr="008670D8" w:rsidRDefault="00C93C46" w:rsidP="00C93C46">
      <w:pPr>
        <w:spacing w:after="0" w:line="240" w:lineRule="auto"/>
        <w:rPr>
          <w:rFonts w:ascii="Segoe UI" w:eastAsia="Times New Roman" w:hAnsi="Segoe UI" w:cs="Segoe UI"/>
          <w:lang w:eastAsia="cs-CZ"/>
        </w:rPr>
      </w:pPr>
      <w:r w:rsidRPr="008670D8">
        <w:rPr>
          <w:rFonts w:ascii="Segoe UI" w:eastAsia="Times New Roman" w:hAnsi="Segoe UI" w:cs="Segoe UI"/>
          <w:lang w:eastAsia="cs-CZ"/>
        </w:rPr>
        <w:t> </w:t>
      </w:r>
    </w:p>
    <w:p w:rsidR="00C93C46" w:rsidRPr="008670D8" w:rsidRDefault="00C93C46" w:rsidP="00C93C4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8670D8">
        <w:rPr>
          <w:rFonts w:ascii="Calibri" w:eastAsia="Times New Roman" w:hAnsi="Calibri" w:cs="Calibri"/>
          <w:lang w:eastAsia="cs-CZ"/>
        </w:rPr>
        <w:t xml:space="preserve">- Projekty </w:t>
      </w:r>
      <w:proofErr w:type="spellStart"/>
      <w:r w:rsidRPr="008670D8">
        <w:rPr>
          <w:rFonts w:ascii="Calibri" w:eastAsia="Times New Roman" w:hAnsi="Calibri" w:cs="Calibri"/>
          <w:lang w:eastAsia="cs-CZ"/>
        </w:rPr>
        <w:t>REFx</w:t>
      </w:r>
      <w:proofErr w:type="spellEnd"/>
      <w:r w:rsidRPr="008670D8">
        <w:rPr>
          <w:rFonts w:ascii="Calibri" w:eastAsia="Times New Roman" w:hAnsi="Calibri" w:cs="Calibri"/>
          <w:lang w:eastAsia="cs-CZ"/>
        </w:rPr>
        <w:t xml:space="preserve"> koordinuje fórum pro výměnu informací pro prosazování při ECHA;</w:t>
      </w:r>
    </w:p>
    <w:p w:rsidR="00C93C46" w:rsidRPr="008670D8" w:rsidRDefault="00C93C46" w:rsidP="00C93C4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8670D8">
        <w:rPr>
          <w:rFonts w:ascii="Calibri" w:eastAsia="Times New Roman" w:hAnsi="Calibri" w:cs="Calibri"/>
          <w:lang w:eastAsia="cs-CZ"/>
        </w:rPr>
        <w:t xml:space="preserve">- metodika pro projekty </w:t>
      </w:r>
      <w:proofErr w:type="spellStart"/>
      <w:r w:rsidRPr="008670D8">
        <w:rPr>
          <w:rFonts w:ascii="Calibri" w:eastAsia="Times New Roman" w:hAnsi="Calibri" w:cs="Calibri"/>
          <w:lang w:eastAsia="cs-CZ"/>
        </w:rPr>
        <w:t>REFx</w:t>
      </w:r>
      <w:proofErr w:type="spellEnd"/>
      <w:r w:rsidRPr="008670D8">
        <w:rPr>
          <w:rFonts w:ascii="Calibri" w:eastAsia="Times New Roman" w:hAnsi="Calibri" w:cs="Calibri"/>
          <w:lang w:eastAsia="cs-CZ"/>
        </w:rPr>
        <w:t xml:space="preserve"> popisuje strukturu manuálů k projektům a jednotné vyhodnocení;</w:t>
      </w:r>
    </w:p>
    <w:p w:rsidR="00C93C46" w:rsidRPr="008670D8" w:rsidRDefault="00C93C46" w:rsidP="00C93C4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8670D8">
        <w:rPr>
          <w:rFonts w:ascii="Calibri" w:eastAsia="Times New Roman" w:hAnsi="Calibri" w:cs="Calibri"/>
          <w:lang w:eastAsia="cs-CZ"/>
        </w:rPr>
        <w:t xml:space="preserve">- každý rok bude operační fáze jednoho z projektů </w:t>
      </w:r>
      <w:proofErr w:type="spellStart"/>
      <w:r w:rsidRPr="008670D8">
        <w:rPr>
          <w:rFonts w:ascii="Calibri" w:eastAsia="Times New Roman" w:hAnsi="Calibri" w:cs="Calibri"/>
          <w:lang w:eastAsia="cs-CZ"/>
        </w:rPr>
        <w:t>REFx</w:t>
      </w:r>
      <w:proofErr w:type="spellEnd"/>
      <w:r w:rsidRPr="008670D8">
        <w:rPr>
          <w:rFonts w:ascii="Calibri" w:eastAsia="Times New Roman" w:hAnsi="Calibri" w:cs="Calibri"/>
          <w:lang w:eastAsia="cs-CZ"/>
        </w:rPr>
        <w:t xml:space="preserve"> (minimálně do r. 2018);</w:t>
      </w:r>
    </w:p>
    <w:p w:rsidR="00C93C46" w:rsidRPr="008670D8" w:rsidRDefault="00C93C46" w:rsidP="00C93C4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8670D8">
        <w:rPr>
          <w:rFonts w:ascii="Calibri" w:eastAsia="Times New Roman" w:hAnsi="Calibri" w:cs="Calibri"/>
          <w:lang w:eastAsia="cs-CZ"/>
        </w:rPr>
        <w:t xml:space="preserve">- pracovní skupina fóra pro </w:t>
      </w:r>
      <w:proofErr w:type="spellStart"/>
      <w:r w:rsidRPr="008670D8">
        <w:rPr>
          <w:rFonts w:ascii="Calibri" w:eastAsia="Times New Roman" w:hAnsi="Calibri" w:cs="Calibri"/>
          <w:lang w:eastAsia="cs-CZ"/>
        </w:rPr>
        <w:t>prioritizaci</w:t>
      </w:r>
      <w:proofErr w:type="spellEnd"/>
      <w:r w:rsidRPr="008670D8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8670D8">
        <w:rPr>
          <w:rFonts w:ascii="Calibri" w:eastAsia="Times New Roman" w:hAnsi="Calibri" w:cs="Calibri"/>
          <w:lang w:eastAsia="cs-CZ"/>
        </w:rPr>
        <w:t>REFx</w:t>
      </w:r>
      <w:proofErr w:type="spellEnd"/>
      <w:r w:rsidRPr="008670D8">
        <w:rPr>
          <w:rFonts w:ascii="Calibri" w:eastAsia="Times New Roman" w:hAnsi="Calibri" w:cs="Calibri"/>
          <w:lang w:eastAsia="cs-CZ"/>
        </w:rPr>
        <w:t xml:space="preserve"> bude navrhovat a vybírat témata pro budoucí projekty </w:t>
      </w:r>
      <w:proofErr w:type="spellStart"/>
      <w:r w:rsidRPr="008670D8">
        <w:rPr>
          <w:rFonts w:ascii="Calibri" w:eastAsia="Times New Roman" w:hAnsi="Calibri" w:cs="Calibri"/>
          <w:lang w:eastAsia="cs-CZ"/>
        </w:rPr>
        <w:t>REFx</w:t>
      </w:r>
      <w:proofErr w:type="spellEnd"/>
      <w:r w:rsidRPr="008670D8">
        <w:rPr>
          <w:rFonts w:ascii="Calibri" w:eastAsia="Times New Roman" w:hAnsi="Calibri" w:cs="Calibri"/>
          <w:lang w:eastAsia="cs-CZ"/>
        </w:rPr>
        <w:t>; je v ní zástupce ČIŽP.</w:t>
      </w:r>
    </w:p>
    <w:p w:rsidR="00C93C46" w:rsidRPr="008670D8" w:rsidRDefault="00C93C46" w:rsidP="00C93C4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8670D8">
        <w:rPr>
          <w:rFonts w:ascii="Calibri" w:eastAsia="Times New Roman" w:hAnsi="Calibri" w:cs="Calibri"/>
          <w:lang w:eastAsia="cs-CZ"/>
        </w:rPr>
        <w:t> </w:t>
      </w:r>
    </w:p>
    <w:p w:rsidR="00C93C46" w:rsidRPr="008670D8" w:rsidRDefault="00C93C46" w:rsidP="00C93C4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8670D8">
        <w:rPr>
          <w:rFonts w:ascii="Calibri" w:eastAsia="Times New Roman" w:hAnsi="Calibri" w:cs="Calibri"/>
          <w:i/>
          <w:iCs/>
          <w:lang w:eastAsia="cs-CZ"/>
        </w:rPr>
        <w:t>REF2 - kontroly následných uživatelů</w:t>
      </w:r>
    </w:p>
    <w:p w:rsidR="00C93C46" w:rsidRPr="008670D8" w:rsidRDefault="00C93C46" w:rsidP="00C93C4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8670D8">
        <w:rPr>
          <w:rFonts w:ascii="Calibri" w:eastAsia="Times New Roman" w:hAnsi="Calibri" w:cs="Calibri"/>
          <w:lang w:eastAsia="cs-CZ"/>
        </w:rPr>
        <w:lastRenderedPageBreak/>
        <w:t>- Proběhly v roce 2011 a 2012;</w:t>
      </w:r>
    </w:p>
    <w:p w:rsidR="00C93C46" w:rsidRPr="008670D8" w:rsidRDefault="00C93C46" w:rsidP="00C93C4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8670D8">
        <w:rPr>
          <w:rFonts w:ascii="Calibri" w:eastAsia="Times New Roman" w:hAnsi="Calibri" w:cs="Calibri"/>
          <w:lang w:eastAsia="cs-CZ"/>
        </w:rPr>
        <w:t>- 29 států, 1181 kontrol, 7300 látek, 4700 směsí;</w:t>
      </w:r>
    </w:p>
    <w:p w:rsidR="00C93C46" w:rsidRPr="008670D8" w:rsidRDefault="00C93C46" w:rsidP="00C93C4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8670D8">
        <w:rPr>
          <w:rFonts w:ascii="Calibri" w:eastAsia="Times New Roman" w:hAnsi="Calibri" w:cs="Calibri"/>
          <w:lang w:eastAsia="cs-CZ"/>
        </w:rPr>
        <w:t>- porušení - 4% látek neregistrováno, 50% bezpečnostních listů v rozporu s předpisy;</w:t>
      </w:r>
    </w:p>
    <w:p w:rsidR="00C93C46" w:rsidRPr="008670D8" w:rsidRDefault="00C93C46" w:rsidP="00C93C4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8670D8">
        <w:rPr>
          <w:rFonts w:ascii="Calibri" w:eastAsia="Times New Roman" w:hAnsi="Calibri" w:cs="Calibri"/>
          <w:lang w:eastAsia="cs-CZ"/>
        </w:rPr>
        <w:t>- v ČR 17 kontrol a 3 porušení.</w:t>
      </w:r>
    </w:p>
    <w:p w:rsidR="00C93C46" w:rsidRPr="008670D8" w:rsidRDefault="00C93C46" w:rsidP="00C93C4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8670D8">
        <w:rPr>
          <w:rFonts w:ascii="Calibri" w:eastAsia="Times New Roman" w:hAnsi="Calibri" w:cs="Calibri"/>
          <w:lang w:eastAsia="cs-CZ"/>
        </w:rPr>
        <w:t> </w:t>
      </w:r>
    </w:p>
    <w:p w:rsidR="00C93C46" w:rsidRPr="008670D8" w:rsidRDefault="00C93C46" w:rsidP="00C93C4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8670D8">
        <w:rPr>
          <w:rFonts w:ascii="Calibri" w:eastAsia="Times New Roman" w:hAnsi="Calibri" w:cs="Calibri"/>
          <w:i/>
          <w:iCs/>
          <w:lang w:eastAsia="cs-CZ"/>
        </w:rPr>
        <w:t>REF 3 - kontroly dovozců</w:t>
      </w:r>
    </w:p>
    <w:p w:rsidR="00C93C46" w:rsidRPr="008670D8" w:rsidRDefault="00C93C46" w:rsidP="00C93C4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8670D8">
        <w:rPr>
          <w:rFonts w:ascii="Calibri" w:eastAsia="Times New Roman" w:hAnsi="Calibri" w:cs="Calibri"/>
          <w:lang w:eastAsia="cs-CZ"/>
        </w:rPr>
        <w:t>- Kontroly v první fázi proběhly v roce 2013, druhá fáze proběhne v roce 2014;</w:t>
      </w:r>
    </w:p>
    <w:p w:rsidR="00C93C46" w:rsidRPr="008670D8" w:rsidRDefault="00C93C46" w:rsidP="00C93C4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8670D8">
        <w:rPr>
          <w:rFonts w:ascii="Calibri" w:eastAsia="Times New Roman" w:hAnsi="Calibri" w:cs="Calibri"/>
          <w:lang w:eastAsia="cs-CZ"/>
        </w:rPr>
        <w:t xml:space="preserve">- úzká spolupráce ČIŽP s Generálním ředitelstvím cel </w:t>
      </w:r>
      <w:r w:rsidR="00370474">
        <w:rPr>
          <w:rFonts w:ascii="Calibri" w:eastAsia="Times New Roman" w:hAnsi="Calibri" w:cs="Calibri"/>
          <w:lang w:eastAsia="cs-CZ"/>
        </w:rPr>
        <w:t>p</w:t>
      </w:r>
      <w:r w:rsidRPr="008670D8">
        <w:rPr>
          <w:rFonts w:ascii="Calibri" w:eastAsia="Times New Roman" w:hAnsi="Calibri" w:cs="Calibri"/>
          <w:lang w:eastAsia="cs-CZ"/>
        </w:rPr>
        <w:t>ři výběru subjektů ke kontrole;</w:t>
      </w:r>
    </w:p>
    <w:p w:rsidR="00C93C46" w:rsidRPr="008670D8" w:rsidRDefault="00C93C46" w:rsidP="00C93C4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8670D8">
        <w:rPr>
          <w:rFonts w:ascii="Calibri" w:eastAsia="Times New Roman" w:hAnsi="Calibri" w:cs="Calibri"/>
          <w:lang w:eastAsia="cs-CZ"/>
        </w:rPr>
        <w:t>- první fáze v ČR - 17 kontrol, 4 porušení (z toho 2 závažná). </w:t>
      </w:r>
    </w:p>
    <w:p w:rsidR="00C93C46" w:rsidRPr="008670D8" w:rsidRDefault="00C93C46" w:rsidP="00C93C46">
      <w:pPr>
        <w:spacing w:after="15" w:line="240" w:lineRule="auto"/>
        <w:rPr>
          <w:rFonts w:ascii="Segoe UI" w:eastAsia="Times New Roman" w:hAnsi="Segoe UI" w:cs="Segoe UI"/>
          <w:lang w:eastAsia="cs-CZ"/>
        </w:rPr>
      </w:pPr>
      <w:r w:rsidRPr="008670D8">
        <w:rPr>
          <w:rFonts w:ascii="Segoe UI" w:eastAsia="Times New Roman" w:hAnsi="Segoe UI" w:cs="Segoe UI"/>
          <w:lang w:eastAsia="cs-CZ"/>
        </w:rPr>
        <w:t> </w:t>
      </w:r>
    </w:p>
    <w:p w:rsidR="00B52F61" w:rsidRPr="008670D8" w:rsidRDefault="00B52F61" w:rsidP="007033EE">
      <w:pPr>
        <w:jc w:val="both"/>
        <w:rPr>
          <w:b/>
        </w:rPr>
      </w:pPr>
    </w:p>
    <w:p w:rsidR="007033EE" w:rsidRPr="008670D8" w:rsidRDefault="00C43826" w:rsidP="009C2A2D">
      <w:pPr>
        <w:rPr>
          <w:b/>
        </w:rPr>
      </w:pPr>
      <w:r w:rsidRPr="008670D8">
        <w:rPr>
          <w:b/>
        </w:rPr>
        <w:t xml:space="preserve">Informace o IMPEL projektu </w:t>
      </w:r>
      <w:proofErr w:type="gramStart"/>
      <w:r w:rsidRPr="008670D8">
        <w:rPr>
          <w:b/>
        </w:rPr>
        <w:t>DECO –</w:t>
      </w:r>
      <w:r w:rsidR="00C93C46" w:rsidRPr="008670D8">
        <w:rPr>
          <w:b/>
        </w:rPr>
        <w:t>D</w:t>
      </w:r>
      <w:r w:rsidRPr="008670D8">
        <w:rPr>
          <w:b/>
        </w:rPr>
        <w:t>.</w:t>
      </w:r>
      <w:proofErr w:type="gramEnd"/>
      <w:r w:rsidRPr="008670D8">
        <w:rPr>
          <w:b/>
        </w:rPr>
        <w:t xml:space="preserve"> Grůza</w:t>
      </w:r>
    </w:p>
    <w:p w:rsidR="00C20CF3" w:rsidRDefault="00EE5FDF" w:rsidP="00485D57">
      <w:pPr>
        <w:jc w:val="both"/>
      </w:pPr>
      <w:r w:rsidRPr="008670D8">
        <w:t>Projekt DECO je zaměřen na ochranu půdy a souvisejících složek životního prostředí, především vody před kontaminací. Výsledky projektu budou shrnuty do závěrečné zprávy, která bude obsahovat doporučení EK ve věci vhodných přístupů a postupů při řešení sanace kontaminovaných míst a k aktualizaci předpisů na ochrany půdy. V současnosti se k ochraně půdy váže 16 – 18 různých předpisů EU. V úvodu workshopů se účastníci seznámili s přístupem k sanacím v jednotlivých zemích, přičemž za českou stranu byli upozorněni na specifickou situaci, danou především důsledkem masivní privatizace, která na jednu stranu zajistila četným nabyvatelům prostřednictvím ekologických smluv přístup k financování sanací státem, na druhou stranu však znamenala pro početnou skupinu privatizovaných objektů ztrátu odpovědnosti za kontaminaci. Naproti tomu v západní Evropě převládá systém odpovědnosti znečišťovatele (</w:t>
      </w:r>
      <w:r w:rsidR="00370474">
        <w:t>„</w:t>
      </w:r>
      <w:proofErr w:type="spellStart"/>
      <w:r w:rsidRPr="008670D8">
        <w:t>polluter</w:t>
      </w:r>
      <w:proofErr w:type="spellEnd"/>
      <w:r w:rsidRPr="008670D8">
        <w:t xml:space="preserve"> </w:t>
      </w:r>
      <w:proofErr w:type="spellStart"/>
      <w:r w:rsidRPr="008670D8">
        <w:t>pays</w:t>
      </w:r>
      <w:proofErr w:type="spellEnd"/>
      <w:r w:rsidRPr="008670D8">
        <w:t xml:space="preserve">“) a pouze v ojedinělých </w:t>
      </w:r>
      <w:r w:rsidR="008E79A6" w:rsidRPr="008670D8">
        <w:t>případech neexistujícího původce znečištění nastupuje jako odpovědná osoba za sanaci stát (zpravidla prostřednictvím různých k tomuto účelu zřízených fondů). Důsledkem početných realizovaných sanací v ČR (především na základě uzavřených ekologických smluv) jsou praktické zkušenosti ČR v evropském měřítku na nadstandardní úrovni. Z průběhu dalšího jednání vyplynul závěr, že ačkoli v zadání projektu DECO je uveden</w:t>
      </w:r>
      <w:r w:rsidR="00485D57" w:rsidRPr="008670D8">
        <w:t xml:space="preserve"> dosažení</w:t>
      </w:r>
      <w:r w:rsidR="008E79A6" w:rsidRPr="008670D8">
        <w:t xml:space="preserve"> „harmonizace p</w:t>
      </w:r>
      <w:r w:rsidR="00485D57" w:rsidRPr="008670D8">
        <w:t>ří</w:t>
      </w:r>
      <w:r w:rsidR="008E79A6" w:rsidRPr="008670D8">
        <w:t>stupů“</w:t>
      </w:r>
      <w:r w:rsidR="00485D57" w:rsidRPr="008670D8">
        <w:t xml:space="preserve"> v členských </w:t>
      </w:r>
      <w:proofErr w:type="gramStart"/>
      <w:r w:rsidR="00485D57" w:rsidRPr="008670D8">
        <w:t>zemí</w:t>
      </w:r>
      <w:proofErr w:type="gramEnd"/>
      <w:r w:rsidR="00485D57" w:rsidRPr="008670D8">
        <w:t xml:space="preserve">, jejich sjednocování je doporučováno pouze menšinou účastníků  a v omezeném rozsahu, důvodem jsou značně rozdílné podmínky v jednotlivých zemích a to jak hydrologické, tak i ekonomické právní a institucionální.  Pro českou stranu vyplývá ze závěrů jednání nedostatečnost české legislativy pro ochranu půdy, absence dostatečných zákonných omezení pro užívání pozemků, na kterých není vyřešena ekologická zátěž, nedostatečná zákonná podpora využití </w:t>
      </w:r>
      <w:proofErr w:type="spellStart"/>
      <w:r w:rsidR="00485D57" w:rsidRPr="008670D8">
        <w:t>brownfields</w:t>
      </w:r>
      <w:proofErr w:type="spellEnd"/>
      <w:r w:rsidR="00485D57" w:rsidRPr="008670D8">
        <w:t xml:space="preserve"> před stavbami na „zelené louce“, nejednoznačnost přechodu odpovědnosti na kupujícího v případě koupě prokazatelně kontaminovaného pozemku. </w:t>
      </w:r>
      <w:r w:rsidR="00C93C46">
        <w:rPr>
          <w:b/>
        </w:rPr>
        <w:t xml:space="preserve"> </w:t>
      </w:r>
    </w:p>
    <w:p w:rsidR="00C20CF3" w:rsidRDefault="00CC44BC" w:rsidP="00485D57">
      <w:pPr>
        <w:jc w:val="both"/>
      </w:pPr>
      <w:r>
        <w:rPr>
          <w:b/>
        </w:rPr>
        <w:t xml:space="preserve"> </w:t>
      </w:r>
    </w:p>
    <w:p w:rsidR="00431CE3" w:rsidRDefault="00431CE3" w:rsidP="00485D57">
      <w:pPr>
        <w:jc w:val="both"/>
      </w:pPr>
      <w:r w:rsidRPr="00C20CF3">
        <w:rPr>
          <w:b/>
        </w:rPr>
        <w:t>Informace o projektu o skládkách, společná kontrola v CR a v</w:t>
      </w:r>
      <w:r w:rsidR="00C20CF3">
        <w:rPr>
          <w:b/>
        </w:rPr>
        <w:t> </w:t>
      </w:r>
      <w:r w:rsidRPr="00C20CF3">
        <w:rPr>
          <w:b/>
        </w:rPr>
        <w:t>Chorvatsku</w:t>
      </w:r>
      <w:r w:rsidR="00C20CF3">
        <w:rPr>
          <w:b/>
        </w:rPr>
        <w:t xml:space="preserve"> </w:t>
      </w:r>
      <w:r w:rsidR="00C20CF3">
        <w:t xml:space="preserve">– </w:t>
      </w:r>
      <w:r w:rsidR="00766AFF">
        <w:t>V</w:t>
      </w:r>
      <w:r w:rsidR="00C20CF3">
        <w:t>. Hamerník</w:t>
      </w:r>
    </w:p>
    <w:p w:rsidR="00766AFF" w:rsidRDefault="00766AFF" w:rsidP="00766AFF">
      <w:pPr>
        <w:jc w:val="both"/>
      </w:pPr>
      <w:r>
        <w:t xml:space="preserve">Ke zlepšování a výměně poznatků při implementaci evropského práva v oblasti skládkování –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Directive</w:t>
      </w:r>
      <w:proofErr w:type="spellEnd"/>
      <w:r>
        <w:t xml:space="preserve"> 1999/31/EC a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2003/33/EC proběhly v rámci </w:t>
      </w:r>
      <w:proofErr w:type="spellStart"/>
      <w:r>
        <w:t>IMPELu</w:t>
      </w:r>
      <w:proofErr w:type="spellEnd"/>
      <w:r>
        <w:t xml:space="preserve"> v roce 2013 tři mezinárodní kontroly skládek (Česká republika, Chorvatsko, Polsko). Jednalo se o </w:t>
      </w:r>
      <w:proofErr w:type="spellStart"/>
      <w:r>
        <w:t>Reinforcement</w:t>
      </w:r>
      <w:proofErr w:type="spellEnd"/>
      <w:r>
        <w:t xml:space="preserve"> program on </w:t>
      </w:r>
      <w:proofErr w:type="spellStart"/>
      <w:r>
        <w:t>inspection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landfill</w:t>
      </w:r>
      <w:proofErr w:type="spellEnd"/>
      <w:r>
        <w:t xml:space="preserve"> </w:t>
      </w:r>
      <w:proofErr w:type="spellStart"/>
      <w:r>
        <w:t>directive</w:t>
      </w:r>
      <w:proofErr w:type="spellEnd"/>
      <w:r>
        <w:t xml:space="preserve"> in IMPEL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. Kontroly probíhaly dle plánu kontrol, který byl v rámci </w:t>
      </w:r>
      <w:proofErr w:type="spellStart"/>
      <w:r>
        <w:t>IMPELu</w:t>
      </w:r>
      <w:proofErr w:type="spellEnd"/>
      <w:r>
        <w:t xml:space="preserve"> vytvořen v roce 2011-2012.</w:t>
      </w:r>
    </w:p>
    <w:p w:rsidR="00766AFF" w:rsidRDefault="00766AFF" w:rsidP="00766AFF">
      <w:pPr>
        <w:jc w:val="both"/>
      </w:pPr>
      <w:r>
        <w:lastRenderedPageBreak/>
        <w:t xml:space="preserve">V. Hamerník se zúčastnil kontroly v České republice a Chorvatsku. V rámci kontrol byly zjištěny určité rozdíly v aplikaci shora uvedených předpisů v jednotlivých členských zemích EU. V případě Chorvatska, které je čerstvým členem EU, je potom stanoven rok </w:t>
      </w:r>
      <w:proofErr w:type="gramStart"/>
      <w:r>
        <w:t>2018 jako</w:t>
      </w:r>
      <w:proofErr w:type="gramEnd"/>
      <w:r>
        <w:t xml:space="preserve"> přechodný termín do kdy je třeba přizpůsobit fyzický charakter skládek legislativě EU.</w:t>
      </w:r>
    </w:p>
    <w:p w:rsidR="00766AFF" w:rsidRDefault="00766AFF" w:rsidP="00766AFF">
      <w:pPr>
        <w:jc w:val="both"/>
      </w:pPr>
      <w:r>
        <w:t>9.-</w:t>
      </w:r>
      <w:proofErr w:type="gramStart"/>
      <w:r>
        <w:t>10.9.2013</w:t>
      </w:r>
      <w:proofErr w:type="gramEnd"/>
      <w:r>
        <w:t xml:space="preserve"> Česká republika – Skládkový komplex CELIO</w:t>
      </w:r>
    </w:p>
    <w:p w:rsidR="00766AFF" w:rsidRDefault="00766AFF" w:rsidP="00766AFF">
      <w:pPr>
        <w:jc w:val="both"/>
      </w:pPr>
      <w:r>
        <w:t>23.-</w:t>
      </w:r>
      <w:proofErr w:type="gramStart"/>
      <w:r>
        <w:t>24.9.2013</w:t>
      </w:r>
      <w:proofErr w:type="gramEnd"/>
      <w:r>
        <w:t xml:space="preserve"> Chorvatsko – skládka </w:t>
      </w:r>
      <w:proofErr w:type="spellStart"/>
      <w:r>
        <w:t>Mraclinska</w:t>
      </w:r>
      <w:proofErr w:type="spellEnd"/>
      <w:r>
        <w:t xml:space="preserve"> Doubrava (region Záhřeb)</w:t>
      </w:r>
    </w:p>
    <w:p w:rsidR="00D258EE" w:rsidRPr="00C20CF3" w:rsidRDefault="00766AFF" w:rsidP="00766AFF">
      <w:pPr>
        <w:jc w:val="both"/>
      </w:pPr>
      <w:r>
        <w:t>7.-</w:t>
      </w:r>
      <w:proofErr w:type="gramStart"/>
      <w:r>
        <w:t>8.10.2013</w:t>
      </w:r>
      <w:proofErr w:type="gramEnd"/>
      <w:r>
        <w:t xml:space="preserve"> Polsko – skládka Suchý Las (region </w:t>
      </w:r>
      <w:proofErr w:type="spellStart"/>
      <w:r>
        <w:t>Poznan</w:t>
      </w:r>
      <w:proofErr w:type="spellEnd"/>
      <w:r>
        <w:t>)</w:t>
      </w:r>
    </w:p>
    <w:p w:rsidR="00431CE3" w:rsidRDefault="00431CE3" w:rsidP="00485D57">
      <w:pPr>
        <w:jc w:val="both"/>
      </w:pPr>
      <w:r w:rsidRPr="00431CE3">
        <w:rPr>
          <w:b/>
        </w:rPr>
        <w:t>Informace o zasedání TFS NCP v Praze</w:t>
      </w:r>
      <w:r>
        <w:t xml:space="preserve"> –</w:t>
      </w:r>
      <w:r w:rsidR="004E1D23">
        <w:t xml:space="preserve"> J</w:t>
      </w:r>
      <w:r w:rsidR="00D258EE">
        <w:t>. Jenšovská</w:t>
      </w:r>
    </w:p>
    <w:p w:rsidR="006D5F1B" w:rsidRDefault="003D2E61" w:rsidP="006D5F1B">
      <w:pPr>
        <w:jc w:val="both"/>
      </w:pPr>
      <w:r>
        <w:t xml:space="preserve">V říjnu se V Praze uskutečnila „Best </w:t>
      </w:r>
      <w:proofErr w:type="spellStart"/>
      <w:r>
        <w:t>practice</w:t>
      </w:r>
      <w:proofErr w:type="spellEnd"/>
      <w:r>
        <w:t xml:space="preserve">“ konference IMPEL-TFS, inspektorů agentur a inspekcí životního prostředí, které se zúčastnilo 37 účastníků z 25 zemí. </w:t>
      </w:r>
      <w:r w:rsidR="003A7C3A">
        <w:t>Konference</w:t>
      </w:r>
      <w:r>
        <w:t xml:space="preserve"> </w:t>
      </w:r>
      <w:r w:rsidR="003A7C3A">
        <w:t xml:space="preserve">„Best </w:t>
      </w:r>
      <w:proofErr w:type="spellStart"/>
      <w:r w:rsidR="003A7C3A">
        <w:t>practice</w:t>
      </w:r>
      <w:proofErr w:type="spellEnd"/>
      <w:r w:rsidR="003A7C3A">
        <w:t xml:space="preserve">“ </w:t>
      </w:r>
      <w:r w:rsidR="001F4098">
        <w:t xml:space="preserve">je určena </w:t>
      </w:r>
      <w:r>
        <w:t xml:space="preserve">k vzájemné výměně praktických informací, zkušeností a osvědčených kontrolních postupů při přeshraniční přepravě odpadů. V rámci zasedání se probírala role NCP. Dále byly představeny inspekční praxe při kontrolách přeshraniční přepravy odpadů ve Slovinsku a Polsku a probíraly se možnosti nakládání s finanční zárukou. </w:t>
      </w:r>
      <w:proofErr w:type="spellStart"/>
      <w:r>
        <w:t>Thor</w:t>
      </w:r>
      <w:proofErr w:type="spellEnd"/>
      <w:r>
        <w:t xml:space="preserve"> </w:t>
      </w:r>
      <w:proofErr w:type="spellStart"/>
      <w:r>
        <w:t>Henriksen</w:t>
      </w:r>
      <w:proofErr w:type="spellEnd"/>
      <w:r>
        <w:t xml:space="preserve"> představil modely spolupráce kompetentních orgánů. V rámci zasedání </w:t>
      </w:r>
      <w:r w:rsidR="00370474">
        <w:t>byla uspořádána</w:t>
      </w:r>
      <w:r>
        <w:t xml:space="preserve"> také exkurze do Kovohutí Příbram, kde probíhá recyklace olověných autobaterií a elektroodpadů.</w:t>
      </w:r>
      <w:r w:rsidR="00D258EE">
        <w:rPr>
          <w:b/>
        </w:rPr>
        <w:t xml:space="preserve"> </w:t>
      </w:r>
    </w:p>
    <w:p w:rsidR="00C93C46" w:rsidRPr="00CC44BC" w:rsidRDefault="00C93C46" w:rsidP="00C93C46">
      <w:pPr>
        <w:spacing w:before="120"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30"/>
          <w:lang w:eastAsia="cs-CZ"/>
        </w:rPr>
      </w:pPr>
      <w:r>
        <w:rPr>
          <w:rFonts w:ascii="Times New Roman" w:eastAsia="Times New Roman" w:hAnsi="Times New Roman" w:cs="Arial"/>
          <w:b/>
          <w:bCs/>
          <w:sz w:val="24"/>
          <w:szCs w:val="30"/>
          <w:lang w:eastAsia="cs-CZ"/>
        </w:rPr>
        <w:t xml:space="preserve">Informace o </w:t>
      </w:r>
      <w:r w:rsidRPr="00C93C46">
        <w:rPr>
          <w:rFonts w:ascii="Times New Roman" w:eastAsia="Times New Roman" w:hAnsi="Times New Roman" w:cs="Arial"/>
          <w:b/>
          <w:bCs/>
          <w:sz w:val="24"/>
          <w:szCs w:val="30"/>
          <w:lang w:eastAsia="cs-CZ"/>
        </w:rPr>
        <w:t xml:space="preserve">IMPEL </w:t>
      </w:r>
      <w:r>
        <w:rPr>
          <w:rFonts w:ascii="Times New Roman" w:eastAsia="Times New Roman" w:hAnsi="Times New Roman" w:cs="Arial"/>
          <w:b/>
          <w:bCs/>
          <w:sz w:val="24"/>
          <w:szCs w:val="30"/>
          <w:lang w:eastAsia="cs-CZ"/>
        </w:rPr>
        <w:t xml:space="preserve">projektech </w:t>
      </w:r>
      <w:r w:rsidRPr="00C93C46">
        <w:rPr>
          <w:rFonts w:ascii="Times New Roman" w:eastAsia="Times New Roman" w:hAnsi="Times New Roman" w:cs="Arial"/>
          <w:b/>
          <w:bCs/>
          <w:sz w:val="24"/>
          <w:szCs w:val="30"/>
          <w:lang w:eastAsia="cs-CZ"/>
        </w:rPr>
        <w:t xml:space="preserve">v ochraně přírody </w:t>
      </w:r>
      <w:r>
        <w:rPr>
          <w:rFonts w:ascii="Times New Roman" w:eastAsia="Times New Roman" w:hAnsi="Times New Roman" w:cs="Arial"/>
          <w:b/>
          <w:bCs/>
          <w:sz w:val="24"/>
          <w:szCs w:val="30"/>
          <w:lang w:eastAsia="cs-CZ"/>
        </w:rPr>
        <w:t xml:space="preserve">– </w:t>
      </w:r>
      <w:r w:rsidRPr="00CC44BC">
        <w:rPr>
          <w:rFonts w:ascii="Times New Roman" w:eastAsia="Times New Roman" w:hAnsi="Times New Roman" w:cs="Arial"/>
          <w:bCs/>
          <w:sz w:val="24"/>
          <w:szCs w:val="30"/>
          <w:lang w:eastAsia="cs-CZ"/>
        </w:rPr>
        <w:t>M. Baranyai</w:t>
      </w:r>
    </w:p>
    <w:p w:rsidR="00C93C46" w:rsidRPr="00C93C46" w:rsidRDefault="00C93C46" w:rsidP="00C93C46">
      <w:pPr>
        <w:spacing w:before="120" w:after="0" w:line="240" w:lineRule="auto"/>
        <w:jc w:val="both"/>
        <w:rPr>
          <w:rFonts w:ascii="Times New Roman" w:eastAsia="Times New Roman" w:hAnsi="Times New Roman" w:cs="Arial"/>
          <w:b/>
          <w:bCs/>
          <w:sz w:val="24"/>
          <w:szCs w:val="30"/>
          <w:lang w:eastAsia="cs-CZ"/>
        </w:rPr>
      </w:pPr>
    </w:p>
    <w:p w:rsidR="00C93C46" w:rsidRPr="00C93C46" w:rsidRDefault="00C93C46" w:rsidP="00C93C46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30"/>
          <w:lang w:eastAsia="cs-CZ"/>
        </w:rPr>
      </w:pPr>
      <w:r w:rsidRPr="00C93C46">
        <w:rPr>
          <w:rFonts w:ascii="Calibri" w:eastAsia="Times New Roman" w:hAnsi="Calibri" w:cs="Calibri"/>
          <w:bCs/>
          <w:sz w:val="24"/>
          <w:szCs w:val="30"/>
          <w:lang w:eastAsia="cs-CZ"/>
        </w:rPr>
        <w:t xml:space="preserve">  </w:t>
      </w:r>
      <w:proofErr w:type="spellStart"/>
      <w:r w:rsidRPr="00C93C46">
        <w:rPr>
          <w:rFonts w:ascii="Calibri" w:eastAsia="Times New Roman" w:hAnsi="Calibri" w:cs="Calibri"/>
          <w:bCs/>
          <w:sz w:val="24"/>
          <w:szCs w:val="30"/>
          <w:lang w:eastAsia="cs-CZ"/>
        </w:rPr>
        <w:t>M.Baranyai</w:t>
      </w:r>
      <w:proofErr w:type="spellEnd"/>
      <w:r w:rsidRPr="00C93C46">
        <w:rPr>
          <w:rFonts w:ascii="Calibri" w:eastAsia="Times New Roman" w:hAnsi="Calibri" w:cs="Calibri"/>
          <w:bCs/>
          <w:sz w:val="24"/>
          <w:szCs w:val="30"/>
          <w:lang w:eastAsia="cs-CZ"/>
        </w:rPr>
        <w:t xml:space="preserve"> informoval o následujících projektech sítě IMPEL v ochraně přírody, které byly na základě požadavku Evropské komise schváleny na plenárním zasedání IMPEL na Kypru:</w:t>
      </w:r>
    </w:p>
    <w:p w:rsidR="00C93C46" w:rsidRPr="00C93C46" w:rsidRDefault="00C93C46" w:rsidP="00C93C46">
      <w:pPr>
        <w:spacing w:after="0" w:line="240" w:lineRule="auto"/>
        <w:jc w:val="both"/>
        <w:rPr>
          <w:rFonts w:ascii="Calibri" w:eastAsia="Times New Roman" w:hAnsi="Calibri" w:cs="Calibri"/>
          <w:bCs/>
          <w:i/>
          <w:sz w:val="24"/>
          <w:szCs w:val="30"/>
          <w:lang w:eastAsia="cs-CZ"/>
        </w:rPr>
      </w:pPr>
      <w:r w:rsidRPr="00C93C46">
        <w:rPr>
          <w:rFonts w:ascii="Calibri" w:eastAsia="Times New Roman" w:hAnsi="Calibri" w:cs="Calibri"/>
          <w:bCs/>
          <w:i/>
          <w:sz w:val="24"/>
          <w:szCs w:val="30"/>
          <w:lang w:eastAsia="cs-CZ"/>
        </w:rPr>
        <w:t>1. Budování kapacit IMPEL v ochraně přírody.</w:t>
      </w:r>
    </w:p>
    <w:p w:rsidR="00C93C46" w:rsidRPr="00C93C46" w:rsidRDefault="00C93C46" w:rsidP="00C93C46">
      <w:pPr>
        <w:spacing w:after="0" w:line="240" w:lineRule="auto"/>
        <w:jc w:val="both"/>
        <w:rPr>
          <w:rFonts w:ascii="Calibri" w:eastAsia="Times New Roman" w:hAnsi="Calibri" w:cs="Calibri"/>
          <w:bCs/>
          <w:i/>
          <w:sz w:val="24"/>
          <w:szCs w:val="30"/>
          <w:lang w:eastAsia="cs-CZ"/>
        </w:rPr>
      </w:pPr>
      <w:r w:rsidRPr="00C93C46">
        <w:rPr>
          <w:rFonts w:ascii="Calibri" w:eastAsia="Times New Roman" w:hAnsi="Calibri" w:cs="Calibri"/>
          <w:bCs/>
          <w:i/>
          <w:sz w:val="24"/>
          <w:szCs w:val="30"/>
          <w:lang w:eastAsia="cs-CZ"/>
        </w:rPr>
        <w:t>2. Eliminace nezákonného zabíjení, chytání a obchodování s ptáky.</w:t>
      </w:r>
    </w:p>
    <w:p w:rsidR="00C93C46" w:rsidRPr="00C93C46" w:rsidRDefault="00C93C46" w:rsidP="00C93C46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30"/>
          <w:lang w:eastAsia="cs-CZ"/>
        </w:rPr>
      </w:pPr>
      <w:r w:rsidRPr="00C93C46">
        <w:rPr>
          <w:rFonts w:ascii="Calibri" w:eastAsia="Times New Roman" w:hAnsi="Calibri" w:cs="Calibri"/>
          <w:bCs/>
          <w:i/>
          <w:sz w:val="24"/>
          <w:szCs w:val="30"/>
          <w:lang w:eastAsia="cs-CZ"/>
        </w:rPr>
        <w:t>3. Ochrana přírody při povolování a kontrolách průmyslových provozů.</w:t>
      </w:r>
    </w:p>
    <w:p w:rsidR="00C93C46" w:rsidRPr="00C93C46" w:rsidRDefault="00C93C46" w:rsidP="00C93C46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30"/>
          <w:lang w:eastAsia="cs-CZ"/>
        </w:rPr>
      </w:pPr>
      <w:r w:rsidRPr="00C93C46">
        <w:rPr>
          <w:rFonts w:ascii="Calibri" w:eastAsia="Times New Roman" w:hAnsi="Calibri" w:cs="Calibri"/>
          <w:bCs/>
          <w:sz w:val="24"/>
          <w:szCs w:val="30"/>
          <w:lang w:eastAsia="cs-CZ"/>
        </w:rPr>
        <w:t xml:space="preserve">   ČIŽP je v roce 2013 vedoucím projektu ve věci budování kapacit IMPEL v ochraně přírody, v rámci kterého proběhly konzultace s orgány ochrany přírody a existujícími mezinárodními organizacemi v rámci Evropy. Byly analyzovány odpovědi na dotazník, který je zaměřen především na ustanovení čl. 6 odst. 2 a 3 směrnice o stanovištích. Návrh závěrečné zprávy byl projednán na jednání Cluster I. v Grazu a bude předložena ke schválení na plenárním zasedání v Litvě.</w:t>
      </w:r>
    </w:p>
    <w:p w:rsidR="00C93C46" w:rsidRPr="00C93C46" w:rsidRDefault="00C93C46" w:rsidP="00C93C46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30"/>
          <w:lang w:eastAsia="cs-CZ"/>
        </w:rPr>
      </w:pPr>
      <w:r w:rsidRPr="00C93C46">
        <w:rPr>
          <w:rFonts w:ascii="Calibri" w:eastAsia="Times New Roman" w:hAnsi="Calibri" w:cs="Calibri"/>
          <w:bCs/>
          <w:sz w:val="24"/>
          <w:szCs w:val="30"/>
          <w:lang w:eastAsia="cs-CZ"/>
        </w:rPr>
        <w:t xml:space="preserve">   Dále informoval o postupu implementace nařízení EU č. 995/2010, kterým se stanoví povinností subjektů uvádějící na trh dřevo a dřevařské výrobky, které nabylo účinnosti začátkem března 2013. V článku 4 odst. 1 toto nařízení zakazuje uvádět na trh EU nezákonně vytěžené dříví. V ČR bylo toto nařízení implementováno v novém zákonu o dříví č. 226/2013 Sb., který začal platit od </w:t>
      </w:r>
      <w:proofErr w:type="gramStart"/>
      <w:r w:rsidRPr="00C93C46">
        <w:rPr>
          <w:rFonts w:ascii="Calibri" w:eastAsia="Times New Roman" w:hAnsi="Calibri" w:cs="Calibri"/>
          <w:bCs/>
          <w:sz w:val="24"/>
          <w:szCs w:val="30"/>
          <w:lang w:eastAsia="cs-CZ"/>
        </w:rPr>
        <w:t>1.9.2013</w:t>
      </w:r>
      <w:proofErr w:type="gramEnd"/>
      <w:r w:rsidRPr="00C93C46">
        <w:rPr>
          <w:rFonts w:ascii="Calibri" w:eastAsia="Times New Roman" w:hAnsi="Calibri" w:cs="Calibri"/>
          <w:bCs/>
          <w:sz w:val="24"/>
          <w:szCs w:val="30"/>
          <w:lang w:eastAsia="cs-CZ"/>
        </w:rPr>
        <w:t xml:space="preserve">. S ohledem na iniciativu </w:t>
      </w:r>
      <w:proofErr w:type="spellStart"/>
      <w:r w:rsidRPr="00C93C46">
        <w:rPr>
          <w:rFonts w:ascii="Calibri" w:eastAsia="Times New Roman" w:hAnsi="Calibri" w:cs="Calibri"/>
          <w:bCs/>
          <w:sz w:val="24"/>
          <w:szCs w:val="30"/>
          <w:lang w:eastAsia="cs-CZ"/>
        </w:rPr>
        <w:t>MZe</w:t>
      </w:r>
      <w:proofErr w:type="spellEnd"/>
      <w:r w:rsidRPr="00C93C46">
        <w:rPr>
          <w:rFonts w:ascii="Calibri" w:eastAsia="Times New Roman" w:hAnsi="Calibri" w:cs="Calibri"/>
          <w:bCs/>
          <w:sz w:val="24"/>
          <w:szCs w:val="30"/>
          <w:lang w:eastAsia="cs-CZ"/>
        </w:rPr>
        <w:t xml:space="preserve"> a Asociace krajských úřadů bohužel nebyly v novém zákoně přiděleny ČIŽP žádné kompetence, dodržování povinností ze zákona o dříví budou kontrolovat krajské úřady a Ústav pro hospodářskou úpravu lesů. Závěrem prezentace ilustroval tuto problematiku nezákonných těžeb na případech řešených ve Východních Čechách a v rámci celé ČR.</w:t>
      </w:r>
    </w:p>
    <w:p w:rsidR="00C93C46" w:rsidRPr="00C93C46" w:rsidRDefault="00C93C46" w:rsidP="00C93C46">
      <w:pPr>
        <w:spacing w:before="120"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30"/>
          <w:lang w:eastAsia="cs-CZ"/>
        </w:rPr>
      </w:pPr>
    </w:p>
    <w:p w:rsidR="00C93C46" w:rsidRDefault="00C93C46" w:rsidP="00485D57">
      <w:pPr>
        <w:jc w:val="both"/>
        <w:rPr>
          <w:b/>
        </w:rPr>
      </w:pPr>
    </w:p>
    <w:p w:rsidR="006D5F1B" w:rsidRDefault="006D5F1B" w:rsidP="006D5F1B">
      <w:pPr>
        <w:jc w:val="both"/>
      </w:pPr>
      <w:r>
        <w:rPr>
          <w:b/>
        </w:rPr>
        <w:lastRenderedPageBreak/>
        <w:t xml:space="preserve"> </w:t>
      </w:r>
      <w:r w:rsidR="00555CEC">
        <w:rPr>
          <w:b/>
        </w:rPr>
        <w:t xml:space="preserve">Informace o projektu IMPEL o inspekcích podle směrnice o průmyslových emisích a IRAM – </w:t>
      </w:r>
      <w:proofErr w:type="spellStart"/>
      <w:proofErr w:type="gramStart"/>
      <w:r w:rsidR="00555CEC" w:rsidRPr="00555CEC">
        <w:t>T.Augustin</w:t>
      </w:r>
      <w:proofErr w:type="spellEnd"/>
      <w:proofErr w:type="gramEnd"/>
    </w:p>
    <w:p w:rsidR="00555CEC" w:rsidRPr="00555CEC" w:rsidRDefault="00555CEC" w:rsidP="006D5F1B">
      <w:pPr>
        <w:jc w:val="both"/>
      </w:pPr>
      <w:r>
        <w:t>Směrnice o průmyslových emisích nastavila nové požadavky na kontroly průmyslových zařízení, a proto síť IMPEL se této problematice věnuje skrze projekty:</w:t>
      </w:r>
    </w:p>
    <w:p w:rsidR="009B300D" w:rsidRPr="00555CEC" w:rsidRDefault="005E541B" w:rsidP="00555CEC">
      <w:pPr>
        <w:numPr>
          <w:ilvl w:val="0"/>
          <w:numId w:val="10"/>
        </w:numPr>
        <w:jc w:val="both"/>
      </w:pPr>
      <w:proofErr w:type="spellStart"/>
      <w:r w:rsidRPr="00555CEC">
        <w:t>EasyTool</w:t>
      </w:r>
      <w:proofErr w:type="spellEnd"/>
      <w:r w:rsidRPr="00555CEC">
        <w:t xml:space="preserve"> projekt (2010 a 2011) vyvinul jednoduchý a flexibilní nástroj pro posuzování rizik jako součást environmentálních inspekcí souvisejících s Evropskou legislativou (IED and SEVESO) a RMCEI. </w:t>
      </w:r>
    </w:p>
    <w:p w:rsidR="009B300D" w:rsidRPr="00555CEC" w:rsidRDefault="005E541B" w:rsidP="00555CEC">
      <w:pPr>
        <w:numPr>
          <w:ilvl w:val="1"/>
          <w:numId w:val="10"/>
        </w:numPr>
        <w:jc w:val="both"/>
      </w:pPr>
      <w:r w:rsidRPr="00555CEC">
        <w:t>Projektový tým tvořený experty z 11 členských států shromáždil informace týkají</w:t>
      </w:r>
      <w:r w:rsidR="00370474">
        <w:t>cí se posuzování rizik používán</w:t>
      </w:r>
      <w:r w:rsidRPr="00555CEC">
        <w:t xml:space="preserve"> napříč Evropou a byla vyvinuta a testována nová metodologie IRAM (</w:t>
      </w:r>
      <w:proofErr w:type="spellStart"/>
      <w:r w:rsidRPr="00555CEC">
        <w:t>Integrated</w:t>
      </w:r>
      <w:proofErr w:type="spellEnd"/>
      <w:r w:rsidRPr="00555CEC">
        <w:t xml:space="preserve"> Risk </w:t>
      </w:r>
      <w:proofErr w:type="spellStart"/>
      <w:r w:rsidRPr="00555CEC">
        <w:t>Assessment</w:t>
      </w:r>
      <w:proofErr w:type="spellEnd"/>
      <w:r w:rsidRPr="00555CEC">
        <w:t xml:space="preserve"> </w:t>
      </w:r>
      <w:proofErr w:type="spellStart"/>
      <w:r w:rsidRPr="00555CEC">
        <w:t>Method</w:t>
      </w:r>
      <w:proofErr w:type="spellEnd"/>
      <w:r w:rsidRPr="00555CEC">
        <w:t xml:space="preserve">). </w:t>
      </w:r>
    </w:p>
    <w:p w:rsidR="009B300D" w:rsidRPr="00555CEC" w:rsidRDefault="005E541B" w:rsidP="00555CEC">
      <w:pPr>
        <w:numPr>
          <w:ilvl w:val="0"/>
          <w:numId w:val="10"/>
        </w:numPr>
        <w:jc w:val="both"/>
      </w:pPr>
      <w:r w:rsidRPr="00555CEC">
        <w:t xml:space="preserve">Vyjasnění povinností z IED </w:t>
      </w:r>
    </w:p>
    <w:p w:rsidR="009B300D" w:rsidRDefault="005E541B" w:rsidP="00555CEC">
      <w:pPr>
        <w:numPr>
          <w:ilvl w:val="0"/>
          <w:numId w:val="10"/>
        </w:numPr>
        <w:jc w:val="both"/>
      </w:pPr>
      <w:r w:rsidRPr="00555CEC">
        <w:t xml:space="preserve">Projekt „Inspekce podle IED“(2011-2013) →průvodce pro implementaci IED v plánování a provádění inspekcí →vyvstala potřeba vytvoření průvodce pro vývoj inspekčních programů, vč. požadavků na možný IT nástroj pro vypracování inspekčních programů </w:t>
      </w:r>
    </w:p>
    <w:p w:rsidR="00555CEC" w:rsidRDefault="00555CEC" w:rsidP="00555CEC">
      <w:pPr>
        <w:ind w:left="720"/>
        <w:jc w:val="both"/>
      </w:pPr>
      <w:r w:rsidRPr="00555CEC">
        <w:t>Požadavek čl. 23(4) IED je, že příslušný orgán na základě plánů inspekcí pravidelně vypracovává programy běžných inspekcí v oblasti ŽP, vč. četnosti prohlídek na místě u různých druhů zařízení.</w:t>
      </w:r>
    </w:p>
    <w:p w:rsidR="00555CEC" w:rsidRDefault="00555CEC" w:rsidP="00555CEC">
      <w:pPr>
        <w:ind w:left="720"/>
        <w:jc w:val="both"/>
      </w:pPr>
      <w:r>
        <w:t>Inspekční program může být část</w:t>
      </w:r>
      <w:r w:rsidR="00370474">
        <w:t>í</w:t>
      </w:r>
      <w:r>
        <w:t xml:space="preserve"> inspekčního plánu, nicméně inspekční plán je veřejně přístupný. Proto se kontrolní orgán může sám rozhodnout, jestli zahrne program jako přílohu nebo samostatný dokument. Tímto způsobem se program může stát důvěrným.</w:t>
      </w:r>
    </w:p>
    <w:p w:rsidR="00555CEC" w:rsidRDefault="00555CEC" w:rsidP="00555CEC">
      <w:pPr>
        <w:ind w:left="720"/>
        <w:jc w:val="both"/>
      </w:pPr>
      <w:r>
        <w:t>Inspekční program</w:t>
      </w:r>
    </w:p>
    <w:p w:rsidR="00F1728F" w:rsidRDefault="00F1728F" w:rsidP="00555CEC">
      <w:pPr>
        <w:ind w:left="720"/>
        <w:jc w:val="both"/>
      </w:pPr>
      <w:r>
        <w:t>Hlavní cíl projektu:</w:t>
      </w:r>
    </w:p>
    <w:p w:rsidR="00F1728F" w:rsidRDefault="00F1728F" w:rsidP="00F1728F">
      <w:pPr>
        <w:ind w:left="720"/>
        <w:jc w:val="both"/>
      </w:pPr>
      <w:r>
        <w:t xml:space="preserve">Vývoj aplikací pomáhajících k vypracování inspekčních programů pro zařízení spadající jak pod IED, tak i pro jiné typy inspekcí. </w:t>
      </w:r>
    </w:p>
    <w:p w:rsidR="00F1728F" w:rsidRDefault="00F1728F" w:rsidP="00F1728F">
      <w:pPr>
        <w:ind w:left="720"/>
        <w:jc w:val="both"/>
      </w:pPr>
      <w:r>
        <w:t xml:space="preserve">Projektová skupina vyvinula přehled, jak by měl inspekční program vypadat </w:t>
      </w:r>
    </w:p>
    <w:p w:rsidR="00F1728F" w:rsidRDefault="00F1728F" w:rsidP="00F1728F">
      <w:pPr>
        <w:ind w:left="720"/>
        <w:jc w:val="both"/>
      </w:pPr>
      <w:r>
        <w:t xml:space="preserve">Vývoj </w:t>
      </w:r>
      <w:proofErr w:type="spellStart"/>
      <w:r w:rsidR="00CC44BC">
        <w:t>e</w:t>
      </w:r>
      <w:r>
        <w:t>xcelovské</w:t>
      </w:r>
      <w:proofErr w:type="spellEnd"/>
      <w:r>
        <w:t xml:space="preserve"> aplikace IRAM – dostupné všechny funkce</w:t>
      </w:r>
    </w:p>
    <w:p w:rsidR="00F1728F" w:rsidRDefault="00F1728F" w:rsidP="00F1728F">
      <w:pPr>
        <w:ind w:left="720"/>
        <w:jc w:val="both"/>
      </w:pPr>
      <w:r>
        <w:t xml:space="preserve">Vývoj webové aplikace IRAM – dostupná většina funkcí </w:t>
      </w:r>
    </w:p>
    <w:p w:rsidR="00F1728F" w:rsidRDefault="00F1728F" w:rsidP="00F1728F">
      <w:pPr>
        <w:ind w:left="720"/>
        <w:jc w:val="both"/>
      </w:pPr>
      <w:r>
        <w:t xml:space="preserve">Skupina doporučila implementaci zbývajících dosud nezapracovaných funkcionalit do webové aplikace IRAM v následných IMPEL projektech. </w:t>
      </w:r>
    </w:p>
    <w:p w:rsidR="00F1728F" w:rsidRDefault="00F1728F" w:rsidP="00F1728F">
      <w:pPr>
        <w:ind w:left="720"/>
        <w:jc w:val="both"/>
      </w:pPr>
      <w:r>
        <w:t xml:space="preserve">Dalším cílem tohoto projektu byla příprava pro uchovávání a zpracování dat pro hodnocení rizik, na základě které se vypracovávají inspekční programy v návaznosti na </w:t>
      </w:r>
      <w:proofErr w:type="spellStart"/>
      <w:r>
        <w:t>easyTools</w:t>
      </w:r>
      <w:proofErr w:type="spellEnd"/>
      <w:r>
        <w:t xml:space="preserve"> projekt.</w:t>
      </w:r>
    </w:p>
    <w:p w:rsidR="00F1728F" w:rsidRPr="00646791" w:rsidRDefault="00F1728F" w:rsidP="00F1728F">
      <w:pPr>
        <w:ind w:left="720"/>
        <w:jc w:val="both"/>
        <w:rPr>
          <w:i/>
        </w:rPr>
      </w:pPr>
      <w:r w:rsidRPr="00646791">
        <w:rPr>
          <w:i/>
        </w:rPr>
        <w:t>Během projektu účastníci diskutovali obsah inspekčního programu a ten by měl obsahovat následující informace:</w:t>
      </w:r>
    </w:p>
    <w:p w:rsidR="00F1728F" w:rsidRDefault="00F1728F" w:rsidP="00F1728F">
      <w:pPr>
        <w:ind w:left="720"/>
        <w:jc w:val="both"/>
      </w:pPr>
      <w:r>
        <w:t>Definovaný časový úsek z programu</w:t>
      </w:r>
    </w:p>
    <w:p w:rsidR="00F1728F" w:rsidRDefault="00F1728F" w:rsidP="00F1728F">
      <w:pPr>
        <w:ind w:left="720"/>
        <w:jc w:val="both"/>
      </w:pPr>
      <w:r>
        <w:lastRenderedPageBreak/>
        <w:t>Název zařízení/ identifikační číslo</w:t>
      </w:r>
    </w:p>
    <w:p w:rsidR="00F1728F" w:rsidRDefault="00F1728F" w:rsidP="00F1728F">
      <w:pPr>
        <w:ind w:left="720"/>
        <w:jc w:val="both"/>
      </w:pPr>
      <w:r>
        <w:t>Kategorie rizika a z toho plynoucí četnost kontrol</w:t>
      </w:r>
    </w:p>
    <w:p w:rsidR="00F1728F" w:rsidRDefault="00F1728F" w:rsidP="00F1728F">
      <w:pPr>
        <w:ind w:left="720"/>
        <w:jc w:val="both"/>
      </w:pPr>
      <w:r>
        <w:t>Typ kontroly (např. integrovaná, složková, atd.)</w:t>
      </w:r>
    </w:p>
    <w:p w:rsidR="00F1728F" w:rsidRDefault="00F1728F" w:rsidP="00F1728F">
      <w:pPr>
        <w:ind w:left="720"/>
        <w:jc w:val="both"/>
      </w:pPr>
      <w:r>
        <w:t>Termín příští kontroly (den, měsíc, rok)</w:t>
      </w:r>
    </w:p>
    <w:p w:rsidR="00F1728F" w:rsidRDefault="00F1728F" w:rsidP="00F1728F">
      <w:pPr>
        <w:ind w:left="720"/>
        <w:jc w:val="both"/>
      </w:pPr>
      <w:r>
        <w:t>Datum minulé kontroly</w:t>
      </w:r>
    </w:p>
    <w:p w:rsidR="00F1728F" w:rsidRPr="00646791" w:rsidRDefault="00F1728F" w:rsidP="00F1728F">
      <w:pPr>
        <w:ind w:left="720"/>
        <w:jc w:val="both"/>
        <w:rPr>
          <w:i/>
        </w:rPr>
      </w:pPr>
      <w:r w:rsidRPr="00646791">
        <w:rPr>
          <w:i/>
        </w:rPr>
        <w:t>Během projektu účastníci diskutovali obsah inspekčního programu a ten by měl obsahovat následující informace:</w:t>
      </w:r>
    </w:p>
    <w:p w:rsidR="00F1728F" w:rsidRDefault="00F1728F" w:rsidP="00F1728F">
      <w:pPr>
        <w:ind w:left="720"/>
        <w:jc w:val="both"/>
      </w:pPr>
      <w:r>
        <w:t>Definovaný časový úsek z programu</w:t>
      </w:r>
    </w:p>
    <w:p w:rsidR="00F1728F" w:rsidRDefault="00F1728F" w:rsidP="00F1728F">
      <w:pPr>
        <w:ind w:left="720"/>
        <w:jc w:val="both"/>
      </w:pPr>
      <w:r>
        <w:t>Název zařízení/ identifikační číslo</w:t>
      </w:r>
    </w:p>
    <w:p w:rsidR="00F1728F" w:rsidRDefault="00F1728F" w:rsidP="00F1728F">
      <w:pPr>
        <w:ind w:left="720"/>
        <w:jc w:val="both"/>
      </w:pPr>
      <w:r>
        <w:t>Kategorie rizika a z toho plynoucí četnost kontrol</w:t>
      </w:r>
    </w:p>
    <w:p w:rsidR="00F1728F" w:rsidRDefault="00F1728F" w:rsidP="00F1728F">
      <w:pPr>
        <w:ind w:left="720"/>
        <w:jc w:val="both"/>
      </w:pPr>
      <w:r>
        <w:t>Typ kontroly (např. integrovaná, složková, atd.)</w:t>
      </w:r>
    </w:p>
    <w:p w:rsidR="00F1728F" w:rsidRDefault="00F1728F" w:rsidP="00F1728F">
      <w:pPr>
        <w:ind w:left="720"/>
        <w:jc w:val="both"/>
      </w:pPr>
      <w:r>
        <w:t>Termín příští kontroly (den, měsíc, rok)</w:t>
      </w:r>
    </w:p>
    <w:p w:rsidR="00F1728F" w:rsidRDefault="00F1728F" w:rsidP="00F1728F">
      <w:pPr>
        <w:ind w:left="720"/>
        <w:jc w:val="both"/>
      </w:pPr>
      <w:r w:rsidRPr="00646791">
        <w:rPr>
          <w:i/>
        </w:rPr>
        <w:t>Vedle těchto „povinných údajů“ tým rovněž navrhnul seznam údajů, které mohou být dobrovolné v inspekčním programu</w:t>
      </w:r>
      <w:r w:rsidR="00646791">
        <w:t>:</w:t>
      </w:r>
    </w:p>
    <w:p w:rsidR="00F1728F" w:rsidRDefault="00F1728F" w:rsidP="00F1728F">
      <w:pPr>
        <w:ind w:left="720"/>
        <w:jc w:val="both"/>
      </w:pPr>
      <w:r>
        <w:t>Jméno nebo tým inspektorů nebo oddělení</w:t>
      </w:r>
    </w:p>
    <w:p w:rsidR="00F1728F" w:rsidRDefault="00F1728F" w:rsidP="00F1728F">
      <w:pPr>
        <w:ind w:left="720"/>
        <w:jc w:val="both"/>
      </w:pPr>
      <w:r>
        <w:t>Množství času a množství zaměstnanců potřebných pro kontrolu</w:t>
      </w:r>
    </w:p>
    <w:p w:rsidR="00F1728F" w:rsidRDefault="00F1728F" w:rsidP="00F1728F">
      <w:pPr>
        <w:ind w:left="720"/>
        <w:jc w:val="both"/>
      </w:pPr>
      <w:r>
        <w:t>Kvalifikace / potřebné dovednosti</w:t>
      </w:r>
    </w:p>
    <w:p w:rsidR="00F1728F" w:rsidRDefault="00F1728F" w:rsidP="00F1728F">
      <w:pPr>
        <w:ind w:left="720"/>
        <w:jc w:val="both"/>
      </w:pPr>
      <w:r>
        <w:t>Potřebné vybavení</w:t>
      </w:r>
    </w:p>
    <w:p w:rsidR="00F1728F" w:rsidRDefault="00F1728F" w:rsidP="00F1728F">
      <w:pPr>
        <w:ind w:left="720"/>
        <w:jc w:val="both"/>
      </w:pPr>
      <w:r>
        <w:t>Potřebná spolupráce s ostatními kontrolními orgány</w:t>
      </w:r>
    </w:p>
    <w:p w:rsidR="00F1728F" w:rsidRDefault="00F1728F" w:rsidP="00F1728F">
      <w:pPr>
        <w:ind w:left="720"/>
        <w:jc w:val="both"/>
      </w:pPr>
      <w:r>
        <w:t>Historie dodržování</w:t>
      </w:r>
    </w:p>
    <w:p w:rsidR="00F1728F" w:rsidRDefault="00F1728F" w:rsidP="00F1728F">
      <w:pPr>
        <w:ind w:left="720"/>
        <w:jc w:val="both"/>
      </w:pPr>
      <w:r>
        <w:t>Adresa a kontaktní datum minulé kontroly</w:t>
      </w:r>
    </w:p>
    <w:p w:rsidR="00F1728F" w:rsidRDefault="00F1728F" w:rsidP="00F1728F">
      <w:pPr>
        <w:ind w:left="720"/>
        <w:jc w:val="both"/>
      </w:pPr>
      <w:r>
        <w:t xml:space="preserve">Výsledek posouzení rizik, vyhotovený v </w:t>
      </w:r>
      <w:proofErr w:type="spellStart"/>
      <w:r>
        <w:t>IRAMu</w:t>
      </w:r>
      <w:proofErr w:type="spellEnd"/>
      <w:r>
        <w:t xml:space="preserve"> přinese seznam s kontrolními subjekty a jejich příslušných kategorií rizik a četností kontrol. Tyto informace mohou být importovány přímo do inspekčního programu.</w:t>
      </w:r>
    </w:p>
    <w:p w:rsidR="00F1728F" w:rsidRDefault="00F1728F" w:rsidP="00F1728F">
      <w:pPr>
        <w:ind w:left="720"/>
        <w:jc w:val="both"/>
      </w:pPr>
      <w:r>
        <w:t xml:space="preserve">Posouzení musí být provedeno pro všechny subjekty, přesto je třeba zdůraznit, že pro kontrolní subjekty s vysokým rizikem by měly být do programu umístěny prioritně, to znamená, že kontrolní cíle a kontrolní strategie budou definovány pro tyto kontroly subjekty před vypracováním programu kontrol. </w:t>
      </w:r>
    </w:p>
    <w:p w:rsidR="00F1728F" w:rsidRDefault="00F1728F" w:rsidP="00F1728F">
      <w:pPr>
        <w:ind w:left="720"/>
        <w:jc w:val="both"/>
      </w:pPr>
      <w:r>
        <w:t>Nevýhodou je, že inspekční objekty musí být pro každé prováděné posouzení staženy a nahrány – data nejsou uchovávány prostřednictvím internetu</w:t>
      </w:r>
    </w:p>
    <w:p w:rsidR="00F1728F" w:rsidRDefault="00F1728F" w:rsidP="00F1728F">
      <w:pPr>
        <w:ind w:left="720"/>
        <w:jc w:val="both"/>
      </w:pPr>
      <w:r>
        <w:t xml:space="preserve"> </w:t>
      </w:r>
    </w:p>
    <w:p w:rsidR="00F1728F" w:rsidRPr="00F1728F" w:rsidRDefault="00F1728F" w:rsidP="00F1728F">
      <w:pPr>
        <w:ind w:left="720"/>
        <w:jc w:val="both"/>
        <w:rPr>
          <w:b/>
        </w:rPr>
      </w:pPr>
      <w:r w:rsidRPr="00F1728F">
        <w:rPr>
          <w:b/>
        </w:rPr>
        <w:lastRenderedPageBreak/>
        <w:t>Nový IRAM inspekční program – upgrade původního IRAM nástroje</w:t>
      </w:r>
    </w:p>
    <w:p w:rsidR="00F1728F" w:rsidRDefault="00F1728F" w:rsidP="00F1728F">
      <w:pPr>
        <w:ind w:left="720"/>
        <w:jc w:val="both"/>
      </w:pPr>
      <w:r>
        <w:t>Databáze je nyní na internetu, kde jsou všechna data z posouzení rizik uchovávána.</w:t>
      </w:r>
    </w:p>
    <w:p w:rsidR="00F1728F" w:rsidRDefault="00F1728F" w:rsidP="00F1728F">
      <w:pPr>
        <w:ind w:left="720"/>
        <w:jc w:val="both"/>
      </w:pPr>
      <w:r>
        <w:t>Data mohou být znovu použita pro přepočítání bez potřeby načtení z externí databáze.</w:t>
      </w:r>
    </w:p>
    <w:p w:rsidR="00F1728F" w:rsidRDefault="00F1728F" w:rsidP="00F1728F">
      <w:pPr>
        <w:ind w:left="720"/>
        <w:jc w:val="both"/>
      </w:pPr>
      <w:r>
        <w:t xml:space="preserve">Četnost inspekcí a inspekční data všech zvažovaných kontrolovaných subjektů mohou být zobrazena v jedné tabulce </w:t>
      </w:r>
    </w:p>
    <w:p w:rsidR="00F1728F" w:rsidRDefault="00F1728F" w:rsidP="00F1728F">
      <w:pPr>
        <w:ind w:left="720"/>
        <w:jc w:val="both"/>
      </w:pPr>
      <w:r>
        <w:t xml:space="preserve">Všechny řídící parametry změněné zodpovědným koordinátorem nyní mají přímý vliv na všechna otevřená posuzování rizik prováděná tímto koordinátorem. </w:t>
      </w:r>
    </w:p>
    <w:p w:rsidR="00F1728F" w:rsidRDefault="00F1728F" w:rsidP="00F1728F">
      <w:pPr>
        <w:ind w:left="720"/>
        <w:jc w:val="both"/>
      </w:pPr>
      <w:r>
        <w:t>Z důvodu ochrany dat na internetu již nejsou povinné názvy kontrolovaných subjektů - jsou volitelné (identifikace je garantována identifikačními čísly).</w:t>
      </w:r>
    </w:p>
    <w:p w:rsidR="00F1728F" w:rsidRDefault="00F1728F" w:rsidP="00F1728F">
      <w:pPr>
        <w:ind w:left="720"/>
        <w:jc w:val="both"/>
      </w:pPr>
      <w:r>
        <w:t>Internetová aplikace a data jsou umístěny na serveru IT Agentury severního Porýní a Vestfálska se všemi nezbytnými opatřeními týkajícími se bezpečnosti a ochrany údajů</w:t>
      </w:r>
    </w:p>
    <w:p w:rsidR="00F1728F" w:rsidRDefault="00F1728F" w:rsidP="00F1728F">
      <w:pPr>
        <w:ind w:left="720"/>
        <w:jc w:val="both"/>
      </w:pPr>
      <w:r>
        <w:t xml:space="preserve">Nevýhoda stahování a nahrávání inspekčních objektů je odstraněna ukládáním dat online. Inspekční objekty (zařízení ) a  posuzovaná data, která se jich </w:t>
      </w:r>
      <w:proofErr w:type="gramStart"/>
      <w:r>
        <w:t>týkají jsou</w:t>
      </w:r>
      <w:proofErr w:type="gramEnd"/>
      <w:r>
        <w:t xml:space="preserve"> uloženy v databázi, která je přístupná pouze vlastníkovi těchto informací.</w:t>
      </w:r>
    </w:p>
    <w:p w:rsidR="00F1728F" w:rsidRDefault="00F1728F" w:rsidP="00F1728F">
      <w:pPr>
        <w:ind w:left="720"/>
        <w:jc w:val="both"/>
      </w:pPr>
      <w:r>
        <w:t xml:space="preserve">Vlastník informací v </w:t>
      </w:r>
      <w:proofErr w:type="spellStart"/>
      <w:r>
        <w:t>IRAMu</w:t>
      </w:r>
      <w:proofErr w:type="spellEnd"/>
      <w:r>
        <w:t xml:space="preserve"> je inspekční autorita </w:t>
      </w:r>
    </w:p>
    <w:p w:rsidR="00F1728F" w:rsidRDefault="00F1728F" w:rsidP="00F1728F">
      <w:pPr>
        <w:ind w:left="720"/>
        <w:jc w:val="both"/>
      </w:pPr>
      <w:r>
        <w:t>Ukládáním všech dat online je jednodušší jemné ladění analýzy rizik</w:t>
      </w:r>
    </w:p>
    <w:p w:rsidR="00F1728F" w:rsidRDefault="00F1728F" w:rsidP="00F1728F">
      <w:pPr>
        <w:ind w:left="720"/>
        <w:jc w:val="both"/>
      </w:pPr>
      <w:r>
        <w:t xml:space="preserve">Nástroj může exportovat výsledky všech vybraných inspekčních souborů v jednom souboru. </w:t>
      </w:r>
    </w:p>
    <w:p w:rsidR="00F1728F" w:rsidRDefault="00F1728F" w:rsidP="00F1728F">
      <w:pPr>
        <w:ind w:left="720"/>
        <w:jc w:val="both"/>
      </w:pPr>
      <w:r>
        <w:t>Používání dat k definování inspekčních strategií a cílů a vývoji inspekčních programů je méně složité.</w:t>
      </w:r>
    </w:p>
    <w:p w:rsidR="00F1728F" w:rsidRDefault="00F1728F" w:rsidP="00F1728F">
      <w:pPr>
        <w:ind w:left="720"/>
        <w:jc w:val="both"/>
      </w:pPr>
      <w:r>
        <w:t>Koordinátoři a inspektoři mohou měnit pozice v rámci organizace – je možné měnit koordinátory a inspektory beze ztráty informací</w:t>
      </w:r>
    </w:p>
    <w:p w:rsidR="00F1728F" w:rsidRDefault="00F1728F" w:rsidP="00F1728F">
      <w:pPr>
        <w:ind w:left="720"/>
        <w:jc w:val="both"/>
      </w:pPr>
      <w:r>
        <w:t xml:space="preserve">Workshop k projektu Směrnice o průmyslových emisích – IRAM  inspekční program proběhl </w:t>
      </w:r>
      <w:proofErr w:type="gramStart"/>
      <w:r>
        <w:t>1.10. 2013</w:t>
      </w:r>
      <w:proofErr w:type="gramEnd"/>
      <w:r>
        <w:t xml:space="preserve">. Workshopu se zúčastnilo 18 inspektorů z 11 členských zemí sítě IMPEL. </w:t>
      </w:r>
    </w:p>
    <w:p w:rsidR="00F1728F" w:rsidRDefault="00F1728F" w:rsidP="00F1728F">
      <w:pPr>
        <w:ind w:left="720"/>
        <w:jc w:val="both"/>
      </w:pPr>
      <w:r>
        <w:t xml:space="preserve">Představení nových funkcí ve vyvinutých nástrojích (internetová aplikace a nástroj v programu Excel) </w:t>
      </w:r>
    </w:p>
    <w:p w:rsidR="00F1728F" w:rsidRDefault="00F1728F" w:rsidP="00F1728F">
      <w:pPr>
        <w:ind w:left="720"/>
        <w:jc w:val="both"/>
      </w:pPr>
      <w:r>
        <w:t>Praktická ukázka jak internetové aplikace, tak i nástroje v programu Excel (Během praktické prezentace byly v aplikaci zjištěny některé drobné chyby, které budou odstraněny vývojářem aplikace).</w:t>
      </w:r>
    </w:p>
    <w:p w:rsidR="00F1728F" w:rsidRDefault="00F1728F" w:rsidP="00F1728F">
      <w:pPr>
        <w:ind w:left="720"/>
        <w:jc w:val="both"/>
      </w:pPr>
      <w:r>
        <w:t>Praktické vyzkoušení internetové aplikace</w:t>
      </w:r>
    </w:p>
    <w:p w:rsidR="00F1728F" w:rsidRDefault="00F1728F" w:rsidP="00F1728F">
      <w:pPr>
        <w:ind w:left="720"/>
        <w:jc w:val="both"/>
      </w:pPr>
      <w:r>
        <w:t xml:space="preserve">jako inspektoři </w:t>
      </w:r>
    </w:p>
    <w:p w:rsidR="00F1728F" w:rsidRDefault="00F1728F" w:rsidP="00F1728F">
      <w:pPr>
        <w:ind w:left="720"/>
        <w:jc w:val="both"/>
      </w:pPr>
      <w:r>
        <w:t xml:space="preserve">jako koordinátoři </w:t>
      </w:r>
    </w:p>
    <w:p w:rsidR="00F1728F" w:rsidRDefault="00F1728F" w:rsidP="00F1728F">
      <w:pPr>
        <w:ind w:left="720"/>
        <w:jc w:val="both"/>
      </w:pPr>
      <w:r>
        <w:t>Na základě praktického cvičení návrh některých drobných změn aplikace (které mohou být realizovány v rámci rozpočtu projektu</w:t>
      </w:r>
    </w:p>
    <w:p w:rsidR="00F1728F" w:rsidRDefault="00F1728F" w:rsidP="00F1728F">
      <w:pPr>
        <w:ind w:left="720"/>
        <w:jc w:val="both"/>
      </w:pPr>
      <w:r>
        <w:lastRenderedPageBreak/>
        <w:t xml:space="preserve">Stejně jako v projektu </w:t>
      </w:r>
      <w:proofErr w:type="spellStart"/>
      <w:r>
        <w:t>EasyTools</w:t>
      </w:r>
      <w:proofErr w:type="spellEnd"/>
      <w:r>
        <w:t xml:space="preserve"> byl první návrh aplikace pro vypracování inspekčního programu, vyvinut v Excelu. Z rozpočtových důvodů internetová aplikace není stále vybavena všemi funkcemi z </w:t>
      </w:r>
      <w:proofErr w:type="spellStart"/>
      <w:r>
        <w:t>Excelovského</w:t>
      </w:r>
      <w:proofErr w:type="spellEnd"/>
      <w:r>
        <w:t xml:space="preserve"> nástroje.</w:t>
      </w:r>
    </w:p>
    <w:p w:rsidR="00F1728F" w:rsidRDefault="00F1728F" w:rsidP="00CC44BC">
      <w:pPr>
        <w:spacing w:line="240" w:lineRule="auto"/>
        <w:ind w:left="720"/>
        <w:jc w:val="both"/>
      </w:pPr>
      <w:r>
        <w:t>Jedná se o tyto funkce:</w:t>
      </w:r>
    </w:p>
    <w:p w:rsidR="00F1728F" w:rsidRDefault="00F1728F" w:rsidP="00CC44BC">
      <w:pPr>
        <w:spacing w:line="240" w:lineRule="auto"/>
        <w:ind w:left="720"/>
        <w:jc w:val="both"/>
      </w:pPr>
      <w:r>
        <w:t>Počet porušení zjištěných během poslední inspekce</w:t>
      </w:r>
    </w:p>
    <w:p w:rsidR="00F1728F" w:rsidRDefault="00F1728F" w:rsidP="00CC44BC">
      <w:pPr>
        <w:spacing w:line="240" w:lineRule="auto"/>
        <w:ind w:left="720"/>
        <w:jc w:val="both"/>
      </w:pPr>
      <w:r>
        <w:t>Různé úrovně nedodržení podmínek: drobné, významné, závažné</w:t>
      </w:r>
    </w:p>
    <w:p w:rsidR="00F1728F" w:rsidRDefault="00F1728F" w:rsidP="00CC44BC">
      <w:pPr>
        <w:spacing w:line="240" w:lineRule="auto"/>
        <w:ind w:left="720"/>
        <w:jc w:val="both"/>
      </w:pPr>
      <w:r>
        <w:t xml:space="preserve">Datum dodatečné kontroly v případě závažného porušení </w:t>
      </w:r>
    </w:p>
    <w:p w:rsidR="00F1728F" w:rsidRDefault="00F1728F" w:rsidP="00CC44BC">
      <w:pPr>
        <w:spacing w:line="240" w:lineRule="auto"/>
        <w:ind w:left="720"/>
        <w:jc w:val="both"/>
      </w:pPr>
      <w:r>
        <w:t>Datum příští kontroly vyplývající z hodnocení rizik, při současném zohlednění vývoje cílů a úkolů inspekce ve fázi plánování Inspekcí</w:t>
      </w:r>
    </w:p>
    <w:p w:rsidR="00F1728F" w:rsidRDefault="00F1728F" w:rsidP="00CC44BC">
      <w:pPr>
        <w:spacing w:line="240" w:lineRule="auto"/>
        <w:ind w:left="720"/>
        <w:jc w:val="both"/>
      </w:pPr>
      <w:r>
        <w:t>Jméno nebo tým inspektorů nebo oddělení</w:t>
      </w:r>
    </w:p>
    <w:p w:rsidR="00F1728F" w:rsidRDefault="00F1728F" w:rsidP="00CC44BC">
      <w:pPr>
        <w:spacing w:line="240" w:lineRule="auto"/>
        <w:ind w:left="720"/>
        <w:jc w:val="both"/>
      </w:pPr>
      <w:r>
        <w:t>Množství času a množství zaměstnanců potřebných pro kontrolu</w:t>
      </w:r>
    </w:p>
    <w:p w:rsidR="00F1728F" w:rsidRDefault="00F1728F" w:rsidP="00CC44BC">
      <w:pPr>
        <w:spacing w:line="240" w:lineRule="auto"/>
        <w:ind w:left="720"/>
        <w:jc w:val="both"/>
      </w:pPr>
      <w:r>
        <w:t>Kvalifikace / potřebné dovednosti</w:t>
      </w:r>
    </w:p>
    <w:p w:rsidR="00F1728F" w:rsidRDefault="00F1728F" w:rsidP="00CC44BC">
      <w:pPr>
        <w:spacing w:line="240" w:lineRule="auto"/>
        <w:ind w:left="720"/>
        <w:jc w:val="both"/>
      </w:pPr>
      <w:r>
        <w:t>Potřebné vybavení</w:t>
      </w:r>
    </w:p>
    <w:p w:rsidR="00F1728F" w:rsidRDefault="00F1728F" w:rsidP="00CC44BC">
      <w:pPr>
        <w:spacing w:line="240" w:lineRule="auto"/>
        <w:ind w:left="720"/>
        <w:jc w:val="both"/>
      </w:pPr>
      <w:r>
        <w:t>Potřebná spolupráce s ostatními kontrolními orgány</w:t>
      </w:r>
    </w:p>
    <w:p w:rsidR="00F1728F" w:rsidRDefault="00F1728F" w:rsidP="00CC44BC">
      <w:pPr>
        <w:spacing w:line="240" w:lineRule="auto"/>
        <w:ind w:left="720"/>
        <w:jc w:val="both"/>
      </w:pPr>
      <w:r>
        <w:t xml:space="preserve"> Historie dodržování</w:t>
      </w:r>
    </w:p>
    <w:p w:rsidR="00F1728F" w:rsidRDefault="00F1728F" w:rsidP="00F1728F">
      <w:pPr>
        <w:ind w:left="720"/>
        <w:jc w:val="both"/>
      </w:pPr>
      <w:r>
        <w:br/>
        <w:t>Tyto funkce se jeví jako užitečné pro vypracování inspekčních programů, a bylo doporučeno jejich zavedení i do internetové aplikace.</w:t>
      </w:r>
    </w:p>
    <w:p w:rsidR="00F1728F" w:rsidRDefault="00F1728F" w:rsidP="00F1728F">
      <w:pPr>
        <w:ind w:left="720"/>
        <w:jc w:val="both"/>
      </w:pPr>
      <w:r>
        <w:t xml:space="preserve">Ze závěrů workshopu vyplynulo, že </w:t>
      </w:r>
      <w:r w:rsidR="00CC44BC">
        <w:t xml:space="preserve">nové funkce internetové aplikace a nástroje Excel jsou velmi užitečné pro kontrolní praxi příslušných orgánů a internetová aplikace musí být dál rozvíjena. </w:t>
      </w:r>
    </w:p>
    <w:p w:rsidR="00F1728F" w:rsidRDefault="00646791" w:rsidP="00F1728F">
      <w:pPr>
        <w:ind w:left="720"/>
        <w:jc w:val="both"/>
      </w:pPr>
      <w:r w:rsidRPr="00646791">
        <w:rPr>
          <w:b/>
        </w:rPr>
        <w:t>Informace o odpadovém workshopu v Žitavě</w:t>
      </w:r>
      <w:r>
        <w:t xml:space="preserve"> – D. Hráská</w:t>
      </w:r>
    </w:p>
    <w:p w:rsidR="00646791" w:rsidRDefault="00646791" w:rsidP="00646791">
      <w:pPr>
        <w:ind w:left="720"/>
        <w:jc w:val="both"/>
      </w:pPr>
      <w:r>
        <w:t xml:space="preserve"> V rámci workshopu účastníci vyslechli odborné přednášky, jejichž </w:t>
      </w:r>
      <w:proofErr w:type="gramStart"/>
      <w:r>
        <w:t>obsahem  byly</w:t>
      </w:r>
      <w:proofErr w:type="gramEnd"/>
      <w:r>
        <w:t xml:space="preserve"> otázky a názory týkající se opatření, která je nutno přijímat pro období uzavření skládek a následné péče, jak dlouho je nutno fázi následné péče realizovat, aby nedošlo k poškození obecného blaha. Dále se diskutovalo o tom, zda skládka zůstává i po uzavření nadále technickým dílem, nebo zda je možno ji „přetvořit v normální“ využitelnou plochu.</w:t>
      </w:r>
    </w:p>
    <w:p w:rsidR="00646791" w:rsidRDefault="00646791" w:rsidP="00646791">
      <w:pPr>
        <w:ind w:left="720"/>
        <w:jc w:val="both"/>
      </w:pPr>
      <w:r>
        <w:t xml:space="preserve">Uzavřená a rekultivovaná skládka nabízí dostatek příležitostí pro různé možnosti využití. Kromě ozelenění okolí skládky je možné například instalovat na skládkách </w:t>
      </w:r>
      <w:proofErr w:type="spellStart"/>
      <w:r>
        <w:t>fotovoltaická</w:t>
      </w:r>
      <w:proofErr w:type="spellEnd"/>
      <w:r>
        <w:t xml:space="preserve"> zařízení. Rekultivované plochy lze využívat i pro volnočasové aktivity jako jsou golfová hřiště, nebo plochy příměstské rekreace. Právě koncepce </w:t>
      </w:r>
      <w:proofErr w:type="spellStart"/>
      <w:r>
        <w:t>fotovoltaických</w:t>
      </w:r>
      <w:proofErr w:type="spellEnd"/>
      <w:r>
        <w:t xml:space="preserve"> zařízení je v Sasku již významně uváděná v praxi.</w:t>
      </w:r>
    </w:p>
    <w:p w:rsidR="00646791" w:rsidRDefault="00646791" w:rsidP="00646791">
      <w:pPr>
        <w:ind w:left="720"/>
        <w:jc w:val="both"/>
      </w:pPr>
      <w:r>
        <w:t xml:space="preserve">Na zařízení, provozovaném účelovým svazem odpadového hospodářství ZAOE v </w:t>
      </w:r>
      <w:proofErr w:type="spellStart"/>
      <w:r>
        <w:t>Gröbernu</w:t>
      </w:r>
      <w:proofErr w:type="spellEnd"/>
      <w:r>
        <w:t xml:space="preserve"> bylo účastníkům workshopu při exkurzi prakticky představeno využití plochy rekultivované skládky pro </w:t>
      </w:r>
      <w:proofErr w:type="spellStart"/>
      <w:r>
        <w:t>fotovoltaické</w:t>
      </w:r>
      <w:proofErr w:type="spellEnd"/>
      <w:r>
        <w:t xml:space="preserve"> zařízení. Množství takto získané energie ze skládky v </w:t>
      </w:r>
      <w:proofErr w:type="spellStart"/>
      <w:r>
        <w:t>Gröbernu</w:t>
      </w:r>
      <w:proofErr w:type="spellEnd"/>
      <w:r>
        <w:t xml:space="preserve"> může zásobovat elektřinou až 400 domácností.</w:t>
      </w:r>
    </w:p>
    <w:p w:rsidR="00646791" w:rsidRDefault="00646791" w:rsidP="00646791">
      <w:pPr>
        <w:ind w:left="720"/>
        <w:jc w:val="both"/>
      </w:pPr>
      <w:r>
        <w:lastRenderedPageBreak/>
        <w:t>Účastníkům workshopu sdělili zkušenosti také přednášející z ČR a Slovenska.</w:t>
      </w:r>
    </w:p>
    <w:p w:rsidR="00646791" w:rsidRDefault="00646791" w:rsidP="00646791">
      <w:pPr>
        <w:ind w:left="720"/>
        <w:jc w:val="both"/>
      </w:pPr>
      <w:proofErr w:type="spellStart"/>
      <w:r>
        <w:t>Pani</w:t>
      </w:r>
      <w:proofErr w:type="spellEnd"/>
      <w:r>
        <w:t xml:space="preserve"> Věra </w:t>
      </w:r>
      <w:proofErr w:type="spellStart"/>
      <w:r>
        <w:t>Kreníková</w:t>
      </w:r>
      <w:proofErr w:type="spellEnd"/>
      <w:r>
        <w:t xml:space="preserve"> z UJEP Ústí nad Labem přednesla způsoby nakládání s odpady vzniklých ze spalovacích procesů energetických surovin v elektrárnách a teplárnách, zejména jejich skládkování v Podkrušnohoří.</w:t>
      </w:r>
    </w:p>
    <w:p w:rsidR="00646791" w:rsidRDefault="00646791" w:rsidP="00646791">
      <w:pPr>
        <w:ind w:left="720"/>
        <w:jc w:val="both"/>
      </w:pPr>
      <w:proofErr w:type="spellStart"/>
      <w:r>
        <w:t>Pani</w:t>
      </w:r>
      <w:proofErr w:type="spellEnd"/>
      <w:r>
        <w:t xml:space="preserve"> Danuše Hráská přednesla příspěvek o skládkování odpadů v ČR z pohledu České inspekce životního prostředí nejen z hlediska platné legislativy, ale také z pohledu kontrolních poznatků inspekce při dozoru nad dodržováním platných předpisů na úseku odpadového hospodářství v ČR.</w:t>
      </w:r>
    </w:p>
    <w:p w:rsidR="00F1728F" w:rsidRPr="00555CEC" w:rsidRDefault="00646791" w:rsidP="00F1728F">
      <w:pPr>
        <w:ind w:left="720"/>
        <w:jc w:val="both"/>
      </w:pPr>
      <w:r>
        <w:t xml:space="preserve">Pan Marek </w:t>
      </w:r>
      <w:proofErr w:type="spellStart"/>
      <w:r>
        <w:t>Hrabčák</w:t>
      </w:r>
      <w:proofErr w:type="spellEnd"/>
      <w:r>
        <w:t xml:space="preserve"> ze společnosti </w:t>
      </w:r>
      <w:proofErr w:type="spellStart"/>
      <w:r>
        <w:t>Geosofing</w:t>
      </w:r>
      <w:proofErr w:type="spellEnd"/>
      <w:r>
        <w:t xml:space="preserve"> Prešov uvedl legislativní požadavky na uzavírání skládek na Slovensku a dále diskutoval o termínech „naplnění kapacity skládky, efektivní využití objemu skládky a o možnostech prodloužení životnosti skládky úpravou odpadů (zhutňováním a přidávání vlhkosti)“.</w:t>
      </w:r>
    </w:p>
    <w:p w:rsidR="00C93C46" w:rsidRDefault="00C93C46" w:rsidP="00485D57">
      <w:pPr>
        <w:jc w:val="both"/>
        <w:rPr>
          <w:b/>
        </w:rPr>
      </w:pPr>
    </w:p>
    <w:p w:rsidR="00431CE3" w:rsidRPr="004E1D23" w:rsidRDefault="00431CE3" w:rsidP="00485D57">
      <w:pPr>
        <w:jc w:val="both"/>
      </w:pPr>
      <w:r>
        <w:rPr>
          <w:b/>
        </w:rPr>
        <w:t xml:space="preserve">Informace ze zasedání CITES – nelegální obchod s nosorožci, </w:t>
      </w:r>
      <w:r w:rsidR="006D2CA9">
        <w:rPr>
          <w:b/>
        </w:rPr>
        <w:t xml:space="preserve">Konference CITES Rhinoceros </w:t>
      </w:r>
      <w:proofErr w:type="spellStart"/>
      <w:r w:rsidR="006D2CA9">
        <w:rPr>
          <w:b/>
        </w:rPr>
        <w:t>Enforcement</w:t>
      </w:r>
      <w:proofErr w:type="spellEnd"/>
      <w:r w:rsidR="006D2CA9">
        <w:rPr>
          <w:b/>
        </w:rPr>
        <w:t xml:space="preserve"> </w:t>
      </w:r>
      <w:proofErr w:type="spellStart"/>
      <w:r w:rsidR="006D2CA9">
        <w:rPr>
          <w:b/>
        </w:rPr>
        <w:t>Task</w:t>
      </w:r>
      <w:proofErr w:type="spellEnd"/>
      <w:r w:rsidR="006D2CA9">
        <w:rPr>
          <w:b/>
        </w:rPr>
        <w:t xml:space="preserve"> </w:t>
      </w:r>
      <w:proofErr w:type="spellStart"/>
      <w:r w:rsidR="006D2CA9">
        <w:rPr>
          <w:b/>
        </w:rPr>
        <w:t>Force</w:t>
      </w:r>
      <w:proofErr w:type="spellEnd"/>
      <w:r>
        <w:rPr>
          <w:b/>
        </w:rPr>
        <w:t xml:space="preserve"> </w:t>
      </w:r>
      <w:r w:rsidR="004E1D23">
        <w:rPr>
          <w:b/>
        </w:rPr>
        <w:t>–</w:t>
      </w:r>
      <w:r>
        <w:rPr>
          <w:b/>
        </w:rPr>
        <w:t xml:space="preserve"> </w:t>
      </w:r>
      <w:r w:rsidR="004E1D23" w:rsidRPr="004E1D23">
        <w:t>J. Zachařová</w:t>
      </w:r>
    </w:p>
    <w:p w:rsidR="00D46C2A" w:rsidRDefault="00D46C2A" w:rsidP="00D46C2A">
      <w:r>
        <w:t xml:space="preserve">Konference pod názvem CITES Rhinoceros </w:t>
      </w:r>
      <w:proofErr w:type="spellStart"/>
      <w:r>
        <w:t>Enforcement</w:t>
      </w:r>
      <w:proofErr w:type="spellEnd"/>
      <w:r>
        <w:t xml:space="preserve">  </w:t>
      </w:r>
      <w:proofErr w:type="spellStart"/>
      <w:r>
        <w:t>Task</w:t>
      </w:r>
      <w:proofErr w:type="spellEnd"/>
      <w:r>
        <w:t xml:space="preserve"> </w:t>
      </w:r>
      <w:proofErr w:type="spellStart"/>
      <w:r>
        <w:t>Force</w:t>
      </w:r>
      <w:proofErr w:type="spellEnd"/>
      <w:r>
        <w:t xml:space="preserve"> Meeting (jednání pracovní skupiny na nosorožce) proběhla v Nairobi, Keňa, ve dnech 28. – 29. 10. 2013 a byla organizována Sekretariátem CITES. Jejím cílem bylo definovat problémy a strategie boje s nelegálním obchodem s nosorožčími rohy, který v posledních cca 5 letech obrovským tempem eskaluje. Tento nárůst je dán především zvyšující se poptávkou po nosorožčích rozích na asijském trhu. Jednání se účastnilo 52 delegátů z celkem 32 zemí světa, především z Asie a Afriky, ale také představitelé nadnárodních institucí jako např. Světová obchodní banka, </w:t>
      </w:r>
      <w:proofErr w:type="spellStart"/>
      <w:r>
        <w:t>Traffic</w:t>
      </w:r>
      <w:proofErr w:type="spellEnd"/>
      <w:r>
        <w:t xml:space="preserve"> apod. Africké země byly zastoupeny jako země areálové, tedy země kde se nosorožci (nosorožec tuponosý (bílý) </w:t>
      </w:r>
      <w:proofErr w:type="spellStart"/>
      <w:r>
        <w:t>Ceratotherium</w:t>
      </w:r>
      <w:proofErr w:type="spellEnd"/>
      <w:r>
        <w:t xml:space="preserve"> </w:t>
      </w:r>
      <w:proofErr w:type="spellStart"/>
      <w:r>
        <w:t>simum</w:t>
      </w:r>
      <w:proofErr w:type="spellEnd"/>
      <w:r>
        <w:t xml:space="preserve"> a nosorožec dvourohý (černý) </w:t>
      </w:r>
      <w:proofErr w:type="spellStart"/>
      <w:r>
        <w:t>Diceros</w:t>
      </w:r>
      <w:proofErr w:type="spellEnd"/>
      <w:r>
        <w:t xml:space="preserve"> </w:t>
      </w:r>
      <w:proofErr w:type="spellStart"/>
      <w:r>
        <w:t>bicornis</w:t>
      </w:r>
      <w:proofErr w:type="spellEnd"/>
      <w:r>
        <w:t xml:space="preserve">) vyskytují a dochází zde k jejich pytlačení, asijské země byly pak zastoupeny jak v pozici států „konzumních“, kam se následně rohy dovážejí, ale zároveň jako země které rovněž čelí nárůstu pytláctví zbývajících populací nosorožců na Asijském kontinentě (nosorožec indický Rhinoceros </w:t>
      </w:r>
      <w:proofErr w:type="spellStart"/>
      <w:r>
        <w:t>unicornis</w:t>
      </w:r>
      <w:proofErr w:type="spellEnd"/>
      <w:r>
        <w:t xml:space="preserve">, sumaterský </w:t>
      </w:r>
      <w:proofErr w:type="spellStart"/>
      <w:r>
        <w:t>Dicerorhinus</w:t>
      </w:r>
      <w:proofErr w:type="spellEnd"/>
      <w:r>
        <w:t xml:space="preserve"> </w:t>
      </w:r>
      <w:proofErr w:type="spellStart"/>
      <w:r>
        <w:t>sumatrensis</w:t>
      </w:r>
      <w:proofErr w:type="spellEnd"/>
      <w:r>
        <w:t xml:space="preserve"> a jávský Rhinoceros </w:t>
      </w:r>
      <w:proofErr w:type="spellStart"/>
      <w:r>
        <w:t>sondaicus</w:t>
      </w:r>
      <w:proofErr w:type="spellEnd"/>
      <w:r>
        <w:t>). Dále byly zastoupeny země, které se v současné době také významným způsobem podílejí na ilegálním trhu s nosorožčími rohy nebo mohou obdobným problémům v blízké době čelit -  USA (krádeže rohů, aukce, „</w:t>
      </w:r>
      <w:proofErr w:type="spellStart"/>
      <w:r>
        <w:t>pseudohunting</w:t>
      </w:r>
      <w:proofErr w:type="spellEnd"/>
      <w:r>
        <w:t xml:space="preserve">“), Velká Británie (krádeže rohů, vývozy rohů mrtvých nosorožců ze ZOO do Asie). Česká republika byla zastoupena jako stát, který v současné době čelí masivnímu zneužíváni odchylky na dovoz loveckých trofejí. JAR umožňuje roční odstřel cca 100- 200 jedinců nosorožců tuponosých pro osobní potřebu jako trofejní lov – s exemplářem se nadále nesmí jakkoli obchodovat, jedná se o osobní majetek lovce. V ČR je v současné době vyšetřováno několik osob, kteří rohy z lovecké trofeje dále odprodali, výsledné číslo takto zneužitých výjimek bude zřejmě mnohem vyšší (JAR jedná s ČR na přesném seznamu žadatelů z ČR o lovecké licence v JAR).  Obdobným problémům čelí v současné době rovněž USA a dále bylo zastoupeno Polsko, jako představitel země kam se tento problém z ČR může v blízké době přesunout (JAR i Polsko seznámili účastníky s nárůstem žádostí občanů Polska (a dále též Ukrajiny, jak informovala JAR) o lovecké licence v JAR. </w:t>
      </w:r>
    </w:p>
    <w:p w:rsidR="00D46C2A" w:rsidRDefault="00D46C2A" w:rsidP="00D46C2A">
      <w:r>
        <w:lastRenderedPageBreak/>
        <w:t>Současný nárůst ilegálního obchodu s nosorožčími rohy je dáván do souvislosti především s nárůstem ekonomické síly Vietnamu a Číny, kde je prášek z rohu v současné době používán nejen jako tradiční medicína, ale jeho užití se mnohem více rozšiřuje i na jiná užití (příkladem je např. nové využívání prášku mladou generací jako léku proti kocovině) a jeho užití tak mnohem více v současné době souvisí se sociálním statusem. Rohy se na ilegální trh dostávají následujícími hlavními cestami: „</w:t>
      </w:r>
      <w:proofErr w:type="spellStart"/>
      <w:r>
        <w:t>pseudohunting</w:t>
      </w:r>
      <w:proofErr w:type="spellEnd"/>
      <w:r>
        <w:t xml:space="preserve">“, vývozy rohů mrtvých legálně držených nosorožců, krádeže, aukce starožitností apod. a především pytláctví. Delegáti se shodli na tom, že se jedná o vysoce organizovaný zločin, někdy s napojením i na teroristické skupiny či skupiny fungující na principech mafie. Největší populace nosorožců žije v současné době v Jižní Africe, kde se nacházelo k 31. 12. 2012 21 tis nosorožců z celkového počtu 25,5 tisíce všech nosorožců žijících na africkém kontinentě, tedy téměř tři čtvrtiny všech žijících nosorožců na světě. Z těchto čísel tedy vyplývá ojedinělá pozice JAR v této problematice. Nárůst pytláctví je přitom v JAR alarmující – pro rok 2013 se udává odhad 1000 upytlačených jedinců nosorožců, přičemž nárůst od roku 2008 je takřka exponenciální. Některé odhady dokonce hovoří už o roku 2014 jako o roku, kdy počet uhynulých nosorožců převýší počet zvířat nově narozených a populace začne opět klesat. </w:t>
      </w:r>
    </w:p>
    <w:p w:rsidR="00D46C2A" w:rsidRDefault="00D46C2A" w:rsidP="00D46C2A">
      <w:r>
        <w:t xml:space="preserve">Na konferenci zazněly zajímavé příspěvky z jednotlivých areálových států týkající se změn v metodách pytláctví a na to navazujících změn v ochraně – tato činnost je dnes vysoce organizovaná, používají se nejmodernější technologie jak pro lov, tak v komunikační oblasti (přístroje pro noční vidění, helikoptéry, rychlé čluny k odvozu kontrabandu, elektronická komunikace a mobilní převod peněz). Organizované skupiny pytláků mívají často vojenský výcvik. V boji s těmito kriminálními skupinami je proto potřeba vybavit adekvátně těmto změnám i strážce parku. </w:t>
      </w:r>
    </w:p>
    <w:p w:rsidR="00D46C2A" w:rsidRDefault="00D46C2A" w:rsidP="00D46C2A">
      <w:r>
        <w:t xml:space="preserve">Dalším důležitým bodem strategie boje s pytláctvím byla novelizace legislativy v oblasti </w:t>
      </w:r>
      <w:proofErr w:type="spellStart"/>
      <w:r>
        <w:t>wildlife</w:t>
      </w:r>
      <w:proofErr w:type="spellEnd"/>
      <w:r>
        <w:t xml:space="preserve"> – některé země mají vysoké tresty (Namibie – 20 let; Namibie má také stabilně významně nižší míru pytláctví, např. 0,04 % za rok 2012, než ostatní africké země), ale některé země mají nízké tresty a je potřeba zastaralou legislativu novelizovat (Vietnam, Keňa – 7 let). Důležitým doporučením bylo i větší využívání již existující legislativy z jiných oblastí, které jsou s tímto obchodem v přímém spojení – celní delikty, padělání dokumentů, finanční oblast – praní špinavých peněz, korupce, konspirace, únik daní….). Tento přístup je rychlejší než zdlouhavá změna legislativy a často velice efektivní (především tresty za finanční delikty jsou vysoké).</w:t>
      </w:r>
    </w:p>
    <w:p w:rsidR="00D46C2A" w:rsidRDefault="00D46C2A" w:rsidP="00D46C2A">
      <w:r>
        <w:t xml:space="preserve">Dále je nutné rozkrývat zločineckou činnost na všech úrovních – nesoustředit se pouze na nejnižší úroveň pytláků a jejich pomocníků, ale rozplétat pašeráckou síť do vyšších pater (úspěšný případ z Nepálu – operace </w:t>
      </w:r>
      <w:proofErr w:type="spellStart"/>
      <w:r>
        <w:t>Unicornis</w:t>
      </w:r>
      <w:proofErr w:type="spellEnd"/>
      <w:r>
        <w:t>) – současná data napovídají bohužel spíše o opačném přístupu, jelikož většina zatčených např. v JAR byla pouze z nejnižších úrovní (pytláci) zločinecké sítě. Tito lidé jsou však snáze nahraditelní než výše postavené osoby v tomto „řetězci“ a na ně by se mělo budoucí vyšetřování především zaměřit.</w:t>
      </w:r>
    </w:p>
    <w:p w:rsidR="00D46C2A" w:rsidRDefault="00D46C2A" w:rsidP="00D46C2A">
      <w:r>
        <w:t xml:space="preserve">Dalším důležitým bodem v boji s ilegálním trhem s nosorožci je archivace DNA. Databáze </w:t>
      </w:r>
      <w:proofErr w:type="spellStart"/>
      <w:r>
        <w:t>Rhodis</w:t>
      </w:r>
      <w:proofErr w:type="spellEnd"/>
      <w:r>
        <w:t xml:space="preserve"> na Univerzitě v Pretorii má od roku 2010 k dnešnímu dni již více jak 10 000 vzorků, k programu se nově přidává i Namibie. Ve dnech 5. - 6. 11. 2013 proběhl v Johannesburgu DNA </w:t>
      </w:r>
      <w:proofErr w:type="spellStart"/>
      <w:r>
        <w:t>training</w:t>
      </w:r>
      <w:proofErr w:type="spellEnd"/>
      <w:r>
        <w:t xml:space="preserve"> workshop.</w:t>
      </w:r>
    </w:p>
    <w:p w:rsidR="00D46C2A" w:rsidRDefault="00D46C2A" w:rsidP="00D46C2A">
      <w:r>
        <w:t xml:space="preserve">Důležitou roli ve strategii boje mají Vietnam a JAR – tyto země podepsaly v prosinci 2012 společnou dohodu (memorandum </w:t>
      </w:r>
      <w:proofErr w:type="spellStart"/>
      <w:r>
        <w:t>of</w:t>
      </w:r>
      <w:proofErr w:type="spellEnd"/>
      <w:r>
        <w:t xml:space="preserve"> </w:t>
      </w:r>
      <w:proofErr w:type="spellStart"/>
      <w:r>
        <w:t>understanding</w:t>
      </w:r>
      <w:proofErr w:type="spellEnd"/>
      <w:r>
        <w:t xml:space="preserve">), kde je konkrétně popsána vzájemná spolupráce ve 27 bodech v 7 tematických oblastech a akční plán je sestaven do roku 2016. Vietnam v současné době zpracovává výsledky kontrol osob, které si v minulých letech dovezly trofej nosorožce uloveného v </w:t>
      </w:r>
      <w:r>
        <w:lastRenderedPageBreak/>
        <w:t xml:space="preserve">rámci odchylky pro loveckou licenci v JAR. JAR v současné době zakázala komerční prodej rohů na svém území, zřizuje národní databázi zásob rohoviny z nosorožců, od roku 2012 vydala zákaz vydávání loveckých licencí občanům Vietnamu, žadatelé o loveckou licenci v JAR musí v současné době prokazovat členství v lovecké asociaci a JAR může odmítnout udělit loveckou licenci žadatelům vyšetřovaným v oblasti </w:t>
      </w:r>
      <w:proofErr w:type="spellStart"/>
      <w:r>
        <w:t>wildlife</w:t>
      </w:r>
      <w:proofErr w:type="spellEnd"/>
      <w:r>
        <w:t xml:space="preserve">. JAR dále zavedla standardy značení a identifikace rohů, a to jak odebíráním vzorků pro archivaci DNA, tak </w:t>
      </w:r>
      <w:proofErr w:type="spellStart"/>
      <w:r>
        <w:t>čipováním</w:t>
      </w:r>
      <w:proofErr w:type="spellEnd"/>
      <w:r>
        <w:t xml:space="preserve"> rohů.</w:t>
      </w:r>
    </w:p>
    <w:p w:rsidR="00FF1796" w:rsidRDefault="00FF1796" w:rsidP="00D46C2A"/>
    <w:p w:rsidR="00FF1796" w:rsidRDefault="00FF1796" w:rsidP="00D46C2A">
      <w:r>
        <w:t>Příští porada národní sítě IMPEL se bude konat v květnu/červnu 2014.</w:t>
      </w:r>
      <w:bookmarkStart w:id="0" w:name="_GoBack"/>
      <w:bookmarkEnd w:id="0"/>
    </w:p>
    <w:p w:rsidR="00D46C2A" w:rsidRDefault="00D46C2A" w:rsidP="00D46C2A"/>
    <w:p w:rsidR="00040457" w:rsidRDefault="00040457"/>
    <w:p w:rsidR="00040457" w:rsidRDefault="00040457"/>
    <w:sectPr w:rsidR="00040457" w:rsidSect="00766AFF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7E87"/>
    <w:multiLevelType w:val="hybridMultilevel"/>
    <w:tmpl w:val="D0909DF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41BD6"/>
    <w:multiLevelType w:val="hybridMultilevel"/>
    <w:tmpl w:val="351847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A1D64"/>
    <w:multiLevelType w:val="hybridMultilevel"/>
    <w:tmpl w:val="7770940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3539B6"/>
    <w:multiLevelType w:val="hybridMultilevel"/>
    <w:tmpl w:val="85F23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37090"/>
    <w:multiLevelType w:val="hybridMultilevel"/>
    <w:tmpl w:val="04B60FFC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C11213"/>
    <w:multiLevelType w:val="hybridMultilevel"/>
    <w:tmpl w:val="4BB6F0CA"/>
    <w:lvl w:ilvl="0" w:tplc="3A9A7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54AABC">
      <w:start w:val="282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287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58D3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A62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B2B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727F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58D8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303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00E15E3"/>
    <w:multiLevelType w:val="hybridMultilevel"/>
    <w:tmpl w:val="A3267E7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810A63"/>
    <w:multiLevelType w:val="hybridMultilevel"/>
    <w:tmpl w:val="5A46BA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D87251"/>
    <w:multiLevelType w:val="hybridMultilevel"/>
    <w:tmpl w:val="D7CA2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076601"/>
    <w:multiLevelType w:val="hybridMultilevel"/>
    <w:tmpl w:val="F49EE17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9"/>
  </w:num>
  <w:num w:numId="6">
    <w:abstractNumId w:val="6"/>
  </w:num>
  <w:num w:numId="7">
    <w:abstractNumId w:val="8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B07"/>
    <w:rsid w:val="00040457"/>
    <w:rsid w:val="000741BA"/>
    <w:rsid w:val="000E35C0"/>
    <w:rsid w:val="000E62EA"/>
    <w:rsid w:val="000F7AF9"/>
    <w:rsid w:val="00124118"/>
    <w:rsid w:val="00140F19"/>
    <w:rsid w:val="001450B1"/>
    <w:rsid w:val="001F4098"/>
    <w:rsid w:val="0022121F"/>
    <w:rsid w:val="00292DE4"/>
    <w:rsid w:val="002A094B"/>
    <w:rsid w:val="002E462A"/>
    <w:rsid w:val="00370474"/>
    <w:rsid w:val="003A7C3A"/>
    <w:rsid w:val="003C31B2"/>
    <w:rsid w:val="003D2E61"/>
    <w:rsid w:val="003D340A"/>
    <w:rsid w:val="00431CE3"/>
    <w:rsid w:val="00485D57"/>
    <w:rsid w:val="004933AE"/>
    <w:rsid w:val="004E0729"/>
    <w:rsid w:val="004E1D23"/>
    <w:rsid w:val="00555CEC"/>
    <w:rsid w:val="005918DE"/>
    <w:rsid w:val="00592FF2"/>
    <w:rsid w:val="005B4618"/>
    <w:rsid w:val="005E541B"/>
    <w:rsid w:val="005F01BF"/>
    <w:rsid w:val="006376BD"/>
    <w:rsid w:val="00646791"/>
    <w:rsid w:val="00682119"/>
    <w:rsid w:val="006D2CA9"/>
    <w:rsid w:val="006D5F1B"/>
    <w:rsid w:val="007033EE"/>
    <w:rsid w:val="00740B07"/>
    <w:rsid w:val="00766AFF"/>
    <w:rsid w:val="00850209"/>
    <w:rsid w:val="0086002E"/>
    <w:rsid w:val="008670D8"/>
    <w:rsid w:val="008B077A"/>
    <w:rsid w:val="008C1150"/>
    <w:rsid w:val="008E79A6"/>
    <w:rsid w:val="00973E9A"/>
    <w:rsid w:val="00987EF6"/>
    <w:rsid w:val="009B300D"/>
    <w:rsid w:val="009C2A2D"/>
    <w:rsid w:val="009F26A6"/>
    <w:rsid w:val="00AC1310"/>
    <w:rsid w:val="00B52F61"/>
    <w:rsid w:val="00B60895"/>
    <w:rsid w:val="00B64A12"/>
    <w:rsid w:val="00C20CF3"/>
    <w:rsid w:val="00C43826"/>
    <w:rsid w:val="00C93C46"/>
    <w:rsid w:val="00CA69D8"/>
    <w:rsid w:val="00CC44BC"/>
    <w:rsid w:val="00D044C9"/>
    <w:rsid w:val="00D258EE"/>
    <w:rsid w:val="00D46C2A"/>
    <w:rsid w:val="00D50031"/>
    <w:rsid w:val="00DC2356"/>
    <w:rsid w:val="00E130AA"/>
    <w:rsid w:val="00E46072"/>
    <w:rsid w:val="00E95923"/>
    <w:rsid w:val="00EE5FDF"/>
    <w:rsid w:val="00F1728F"/>
    <w:rsid w:val="00F61116"/>
    <w:rsid w:val="00FD1BBE"/>
    <w:rsid w:val="00FF1796"/>
    <w:rsid w:val="00FF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E6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62E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E62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E6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62E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E6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8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880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0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7108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4794</Words>
  <Characters>28291</Characters>
  <Application>Microsoft Office Word</Application>
  <DocSecurity>0</DocSecurity>
  <Lines>235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33019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 Němcová</dc:creator>
  <cp:keywords/>
  <dc:description/>
  <cp:lastModifiedBy>Lenka  Němcová</cp:lastModifiedBy>
  <cp:revision>11</cp:revision>
  <cp:lastPrinted>2013-12-04T13:33:00Z</cp:lastPrinted>
  <dcterms:created xsi:type="dcterms:W3CDTF">2013-11-22T08:06:00Z</dcterms:created>
  <dcterms:modified xsi:type="dcterms:W3CDTF">2013-12-05T09:40:00Z</dcterms:modified>
</cp:coreProperties>
</file>