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F9" w:rsidRDefault="00DA6CEF" w:rsidP="008D74F9">
      <w:pPr>
        <w:spacing w:line="259" w:lineRule="auto"/>
      </w:pPr>
      <w:r>
        <w:t>17</w:t>
      </w:r>
      <w:r w:rsidR="00DB5F33">
        <w:t>. červ</w:t>
      </w:r>
      <w:r w:rsidR="003A5B37">
        <w:t>ence</w:t>
      </w:r>
      <w:r w:rsidR="00DB5F33">
        <w:t xml:space="preserve"> 2018</w:t>
      </w:r>
    </w:p>
    <w:p w:rsidR="00FE0CD3" w:rsidRDefault="00FE0CD3" w:rsidP="008D74F9">
      <w:pPr>
        <w:spacing w:line="259" w:lineRule="auto"/>
      </w:pPr>
    </w:p>
    <w:p w:rsidR="008D74F9" w:rsidRDefault="008D74F9" w:rsidP="008D74F9">
      <w:pPr>
        <w:spacing w:line="259" w:lineRule="auto"/>
      </w:pPr>
    </w:p>
    <w:p w:rsidR="00FF41D9" w:rsidRPr="002721A6" w:rsidRDefault="00FF41D9" w:rsidP="00E960A4">
      <w:pPr>
        <w:pStyle w:val="NadpisTiskovzprvy"/>
        <w:rPr>
          <w:sz w:val="27"/>
          <w:szCs w:val="27"/>
        </w:rPr>
      </w:pPr>
      <w:bookmarkStart w:id="0" w:name="_GoBack"/>
      <w:r w:rsidRPr="002721A6">
        <w:rPr>
          <w:sz w:val="27"/>
          <w:szCs w:val="27"/>
        </w:rPr>
        <w:t>Inspektoři z České inspekce životn</w:t>
      </w:r>
      <w:r w:rsidR="003A5B37">
        <w:rPr>
          <w:sz w:val="27"/>
          <w:szCs w:val="27"/>
        </w:rPr>
        <w:t>ího pros</w:t>
      </w:r>
      <w:r w:rsidR="00DA6CEF">
        <w:rPr>
          <w:sz w:val="27"/>
          <w:szCs w:val="27"/>
        </w:rPr>
        <w:t>tředí provedli vloni v Jihočeském kraji</w:t>
      </w:r>
      <w:r w:rsidRPr="002721A6">
        <w:rPr>
          <w:sz w:val="27"/>
          <w:szCs w:val="27"/>
        </w:rPr>
        <w:t xml:space="preserve"> 1</w:t>
      </w:r>
      <w:r w:rsidR="00DA6CEF">
        <w:rPr>
          <w:sz w:val="27"/>
          <w:szCs w:val="27"/>
        </w:rPr>
        <w:t>146</w:t>
      </w:r>
      <w:r w:rsidRPr="002721A6">
        <w:rPr>
          <w:sz w:val="27"/>
          <w:szCs w:val="27"/>
        </w:rPr>
        <w:t xml:space="preserve"> kontrol a </w:t>
      </w:r>
      <w:r w:rsidR="00DA6CEF">
        <w:rPr>
          <w:sz w:val="27"/>
          <w:szCs w:val="27"/>
        </w:rPr>
        <w:t>uložili 257</w:t>
      </w:r>
      <w:r w:rsidRPr="002721A6">
        <w:rPr>
          <w:sz w:val="27"/>
          <w:szCs w:val="27"/>
        </w:rPr>
        <w:t xml:space="preserve"> </w:t>
      </w:r>
      <w:r w:rsidR="00DA6CEF">
        <w:rPr>
          <w:sz w:val="27"/>
          <w:szCs w:val="27"/>
        </w:rPr>
        <w:t>pravomocných pokut za více než 8</w:t>
      </w:r>
      <w:r w:rsidR="003A5B37">
        <w:rPr>
          <w:sz w:val="27"/>
          <w:szCs w:val="27"/>
        </w:rPr>
        <w:t xml:space="preserve"> milionů korun</w:t>
      </w:r>
    </w:p>
    <w:bookmarkEnd w:id="0"/>
    <w:p w:rsidR="008D74F9" w:rsidRDefault="008D74F9" w:rsidP="008D74F9">
      <w:pPr>
        <w:spacing w:line="259" w:lineRule="auto"/>
      </w:pPr>
    </w:p>
    <w:p w:rsidR="00285E29" w:rsidRPr="006F5411" w:rsidRDefault="006F5411" w:rsidP="000F162A">
      <w:pPr>
        <w:pStyle w:val="Normlnweb"/>
        <w:rPr>
          <w:rFonts w:ascii="Minion Pro" w:hAnsi="Minion Pro"/>
          <w:b/>
          <w:bCs/>
        </w:rPr>
      </w:pPr>
      <w:r>
        <w:rPr>
          <w:rStyle w:val="Siln"/>
          <w:rFonts w:ascii="Minion Pro" w:hAnsi="Minion Pro"/>
        </w:rPr>
        <w:t>Česká</w:t>
      </w:r>
      <w:r w:rsidRPr="006F5411">
        <w:rPr>
          <w:rStyle w:val="Siln"/>
          <w:rFonts w:ascii="Minion Pro" w:hAnsi="Minion Pro"/>
        </w:rPr>
        <w:t xml:space="preserve"> inspekce životního pros</w:t>
      </w:r>
      <w:r>
        <w:rPr>
          <w:rStyle w:val="Siln"/>
          <w:rFonts w:ascii="Minion Pro" w:hAnsi="Minion Pro"/>
        </w:rPr>
        <w:t xml:space="preserve">tředí (ČIŽP) </w:t>
      </w:r>
      <w:r w:rsidR="009458AB">
        <w:rPr>
          <w:rStyle w:val="Siln"/>
          <w:rFonts w:ascii="Minion Pro" w:hAnsi="Minion Pro"/>
        </w:rPr>
        <w:t>provedla vloni 15 864</w:t>
      </w:r>
      <w:r w:rsidRPr="006F5411">
        <w:rPr>
          <w:rStyle w:val="Siln"/>
          <w:rFonts w:ascii="Minion Pro" w:hAnsi="Minion Pro"/>
        </w:rPr>
        <w:t xml:space="preserve"> kontrol, </w:t>
      </w:r>
      <w:r w:rsidR="00220A1A">
        <w:rPr>
          <w:rStyle w:val="Siln"/>
          <w:rFonts w:ascii="Minion Pro" w:hAnsi="Minion Pro"/>
        </w:rPr>
        <w:t xml:space="preserve">což je o 19 méně než </w:t>
      </w:r>
      <w:r w:rsidR="009458AB">
        <w:rPr>
          <w:rStyle w:val="Siln"/>
          <w:rFonts w:ascii="Minion Pro" w:hAnsi="Minion Pro"/>
        </w:rPr>
        <w:t>v roce 2016 (15 8</w:t>
      </w:r>
      <w:r w:rsidR="00220A1A">
        <w:rPr>
          <w:rStyle w:val="Siln"/>
          <w:rFonts w:ascii="Minion Pro" w:hAnsi="Minion Pro"/>
        </w:rPr>
        <w:t>83) a uložila 2655</w:t>
      </w:r>
      <w:r w:rsidR="009458AB">
        <w:rPr>
          <w:rStyle w:val="Siln"/>
          <w:rFonts w:ascii="Minion Pro" w:hAnsi="Minion Pro"/>
        </w:rPr>
        <w:t xml:space="preserve"> </w:t>
      </w:r>
      <w:r w:rsidR="00220A1A">
        <w:rPr>
          <w:rStyle w:val="Siln"/>
          <w:rFonts w:ascii="Minion Pro" w:hAnsi="Minion Pro"/>
        </w:rPr>
        <w:t>pravomocných pokut (o 100</w:t>
      </w:r>
      <w:r w:rsidR="009458AB">
        <w:rPr>
          <w:rStyle w:val="Siln"/>
          <w:rFonts w:ascii="Minion Pro" w:hAnsi="Minion Pro"/>
        </w:rPr>
        <w:t xml:space="preserve"> méně než v roce 2016)</w:t>
      </w:r>
      <w:r w:rsidR="00220A1A">
        <w:rPr>
          <w:rStyle w:val="Siln"/>
          <w:rFonts w:ascii="Minion Pro" w:hAnsi="Minion Pro"/>
        </w:rPr>
        <w:t xml:space="preserve"> v celkové výši </w:t>
      </w:r>
      <w:r w:rsidR="009458AB">
        <w:rPr>
          <w:rStyle w:val="Siln"/>
          <w:rFonts w:ascii="Minion Pro" w:hAnsi="Minion Pro"/>
        </w:rPr>
        <w:t>113 051 685</w:t>
      </w:r>
      <w:r w:rsidRPr="006F5411">
        <w:rPr>
          <w:rStyle w:val="Siln"/>
          <w:rFonts w:ascii="Minion Pro" w:hAnsi="Minion Pro"/>
        </w:rPr>
        <w:t xml:space="preserve"> korun. </w:t>
      </w:r>
      <w:r w:rsidR="00453764">
        <w:rPr>
          <w:rStyle w:val="Siln"/>
          <w:rFonts w:ascii="Minion Pro" w:hAnsi="Minion Pro"/>
        </w:rPr>
        <w:t>Na jednoho</w:t>
      </w:r>
      <w:r w:rsidR="009458AB">
        <w:rPr>
          <w:rStyle w:val="Siln"/>
          <w:rFonts w:ascii="Minion Pro" w:hAnsi="Minion Pro"/>
        </w:rPr>
        <w:t xml:space="preserve"> inspektora připadlo v roce 2017</w:t>
      </w:r>
      <w:r w:rsidR="00BE347D">
        <w:rPr>
          <w:rStyle w:val="Siln"/>
          <w:rFonts w:ascii="Minion Pro" w:hAnsi="Minion Pro"/>
        </w:rPr>
        <w:t xml:space="preserve"> v průměru 40 kontrol, tedy stejně jako loni. </w:t>
      </w:r>
      <w:r w:rsidRPr="006F5411">
        <w:rPr>
          <w:rStyle w:val="Siln"/>
          <w:rFonts w:ascii="Minion Pro" w:hAnsi="Minion Pro"/>
        </w:rPr>
        <w:t>Nej</w:t>
      </w:r>
      <w:r w:rsidR="00BE347D">
        <w:rPr>
          <w:rStyle w:val="Siln"/>
          <w:rFonts w:ascii="Minion Pro" w:hAnsi="Minion Pro"/>
        </w:rPr>
        <w:t>více pokut</w:t>
      </w:r>
      <w:r w:rsidR="00C715FC">
        <w:rPr>
          <w:rStyle w:val="Siln"/>
          <w:rFonts w:ascii="Minion Pro" w:hAnsi="Minion Pro"/>
        </w:rPr>
        <w:t xml:space="preserve"> </w:t>
      </w:r>
      <w:r w:rsidR="00BE347D">
        <w:rPr>
          <w:rStyle w:val="Siln"/>
          <w:rFonts w:ascii="Minion Pro" w:hAnsi="Minion Pro"/>
        </w:rPr>
        <w:t>padlo za odpady</w:t>
      </w:r>
      <w:r w:rsidR="00C715FC">
        <w:rPr>
          <w:rStyle w:val="Siln"/>
          <w:rFonts w:ascii="Minion Pro" w:hAnsi="Minion Pro"/>
        </w:rPr>
        <w:t xml:space="preserve"> (897)</w:t>
      </w:r>
      <w:r w:rsidRPr="006F5411">
        <w:rPr>
          <w:rStyle w:val="Siln"/>
          <w:rFonts w:ascii="Minion Pro" w:hAnsi="Minion Pro"/>
        </w:rPr>
        <w:t>, což je několikaletý trend.</w:t>
      </w:r>
      <w:r w:rsidR="00FF41D9">
        <w:rPr>
          <w:rStyle w:val="Siln"/>
          <w:rFonts w:ascii="Minion Pro" w:hAnsi="Minion Pro"/>
        </w:rPr>
        <w:t xml:space="preserve"> </w:t>
      </w:r>
      <w:r w:rsidR="00DA6CEF">
        <w:rPr>
          <w:rStyle w:val="Siln"/>
          <w:rFonts w:ascii="Minion Pro" w:hAnsi="Minion Pro"/>
        </w:rPr>
        <w:t>V Jihočeském kraji</w:t>
      </w:r>
      <w:r w:rsidR="00FF41D9" w:rsidRPr="00AE6300">
        <w:rPr>
          <w:rStyle w:val="Siln"/>
          <w:rFonts w:ascii="Minion Pro" w:hAnsi="Minion Pro"/>
        </w:rPr>
        <w:t xml:space="preserve"> provedli inspektoři 1</w:t>
      </w:r>
      <w:r w:rsidR="00DA6CEF">
        <w:rPr>
          <w:rStyle w:val="Siln"/>
          <w:rFonts w:ascii="Minion Pro" w:hAnsi="Minion Pro"/>
        </w:rPr>
        <w:t>146</w:t>
      </w:r>
      <w:r w:rsidR="00FF41D9" w:rsidRPr="00AE6300">
        <w:rPr>
          <w:rStyle w:val="Siln"/>
          <w:rFonts w:ascii="Minion Pro" w:hAnsi="Minion Pro"/>
        </w:rPr>
        <w:t xml:space="preserve"> kontrol a </w:t>
      </w:r>
      <w:r w:rsidR="00251892">
        <w:rPr>
          <w:rStyle w:val="Siln"/>
          <w:rFonts w:ascii="Minion Pro" w:hAnsi="Minion Pro"/>
        </w:rPr>
        <w:t xml:space="preserve">uložili </w:t>
      </w:r>
      <w:r w:rsidR="00DA6CEF">
        <w:rPr>
          <w:rStyle w:val="Siln"/>
          <w:rFonts w:ascii="Minion Pro" w:hAnsi="Minion Pro"/>
        </w:rPr>
        <w:t>25</w:t>
      </w:r>
      <w:r w:rsidR="0044592F">
        <w:rPr>
          <w:rStyle w:val="Siln"/>
          <w:rFonts w:ascii="Minion Pro" w:hAnsi="Minion Pro"/>
        </w:rPr>
        <w:t>7</w:t>
      </w:r>
      <w:r w:rsidR="00FF41D9" w:rsidRPr="00AE6300">
        <w:rPr>
          <w:rStyle w:val="Siln"/>
          <w:rFonts w:ascii="Minion Pro" w:hAnsi="Minion Pro"/>
        </w:rPr>
        <w:t xml:space="preserve"> </w:t>
      </w:r>
      <w:r w:rsidR="00C84951">
        <w:rPr>
          <w:rStyle w:val="Siln"/>
          <w:rFonts w:ascii="Minion Pro" w:hAnsi="Minion Pro"/>
        </w:rPr>
        <w:t xml:space="preserve">pravomocných pokut v celkové výši </w:t>
      </w:r>
      <w:r w:rsidR="00DA6CEF">
        <w:rPr>
          <w:rFonts w:ascii="Minion Pro" w:hAnsi="Minion Pro"/>
          <w:b/>
          <w:bCs/>
        </w:rPr>
        <w:t>8 227</w:t>
      </w:r>
      <w:r w:rsidR="00C306EB">
        <w:rPr>
          <w:rFonts w:ascii="Minion Pro" w:hAnsi="Minion Pro"/>
          <w:b/>
          <w:bCs/>
        </w:rPr>
        <w:t> </w:t>
      </w:r>
      <w:r w:rsidR="00DA6CEF">
        <w:rPr>
          <w:rFonts w:ascii="Minion Pro" w:hAnsi="Minion Pro"/>
          <w:b/>
          <w:bCs/>
        </w:rPr>
        <w:t>732</w:t>
      </w:r>
      <w:r w:rsidR="00C306EB">
        <w:rPr>
          <w:rFonts w:ascii="Minion Pro" w:hAnsi="Minion Pro"/>
          <w:b/>
          <w:bCs/>
        </w:rPr>
        <w:t xml:space="preserve"> </w:t>
      </w:r>
      <w:r w:rsidR="00FF41D9" w:rsidRPr="00AE6300">
        <w:rPr>
          <w:rFonts w:ascii="Minion Pro" w:hAnsi="Minion Pro"/>
          <w:b/>
          <w:bCs/>
        </w:rPr>
        <w:t>korun.</w:t>
      </w:r>
    </w:p>
    <w:p w:rsidR="006F5411" w:rsidRPr="006F5411" w:rsidRDefault="006F5411" w:rsidP="00453764">
      <w:pPr>
        <w:pStyle w:val="Normlnweb"/>
        <w:rPr>
          <w:rFonts w:ascii="Minion Pro" w:hAnsi="Minion Pro"/>
        </w:rPr>
      </w:pPr>
      <w:r w:rsidRPr="006F5411">
        <w:rPr>
          <w:rFonts w:ascii="Minion Pro" w:hAnsi="Minion Pro"/>
        </w:rPr>
        <w:t>Celková vý</w:t>
      </w:r>
      <w:r w:rsidR="00BE347D">
        <w:rPr>
          <w:rFonts w:ascii="Minion Pro" w:hAnsi="Minion Pro"/>
        </w:rPr>
        <w:t>še pokut klesla oproti roku 2016</w:t>
      </w:r>
      <w:r>
        <w:rPr>
          <w:rFonts w:ascii="Minion Pro" w:hAnsi="Minion Pro"/>
        </w:rPr>
        <w:t xml:space="preserve"> o zhruba </w:t>
      </w:r>
      <w:r w:rsidR="00BE347D">
        <w:rPr>
          <w:rFonts w:ascii="Minion Pro" w:hAnsi="Minion Pro"/>
        </w:rPr>
        <w:t xml:space="preserve">17 </w:t>
      </w:r>
      <w:r w:rsidRPr="006F5411">
        <w:rPr>
          <w:rFonts w:ascii="Minion Pro" w:hAnsi="Minion Pro"/>
        </w:rPr>
        <w:t>milionů</w:t>
      </w:r>
      <w:r w:rsidR="00BE347D">
        <w:rPr>
          <w:rFonts w:ascii="Minion Pro" w:hAnsi="Minion Pro"/>
        </w:rPr>
        <w:t xml:space="preserve"> korun</w:t>
      </w:r>
      <w:r w:rsidRPr="006F5411">
        <w:rPr>
          <w:rFonts w:ascii="Minion Pro" w:hAnsi="Minion Pro"/>
        </w:rPr>
        <w:t xml:space="preserve">. </w:t>
      </w:r>
      <w:r w:rsidRPr="006F5411">
        <w:rPr>
          <w:rStyle w:val="Zdraznn"/>
          <w:rFonts w:ascii="Minion Pro" w:hAnsi="Minion Pro"/>
        </w:rPr>
        <w:t>„</w:t>
      </w:r>
      <w:r w:rsidR="0019356D">
        <w:rPr>
          <w:rStyle w:val="Zdraznn"/>
          <w:rFonts w:ascii="Minion Pro" w:hAnsi="Minion Pro"/>
        </w:rPr>
        <w:t xml:space="preserve">Při </w:t>
      </w:r>
      <w:r w:rsidR="00BE347D">
        <w:rPr>
          <w:rStyle w:val="Zdraznn"/>
          <w:rFonts w:ascii="Minion Pro" w:hAnsi="Minion Pro"/>
        </w:rPr>
        <w:t xml:space="preserve">zhruba stejné intenzitě kontrol jako v roce 2016 </w:t>
      </w:r>
      <w:r w:rsidR="0084754E">
        <w:rPr>
          <w:rStyle w:val="Zdraznn"/>
          <w:rFonts w:ascii="Minion Pro" w:hAnsi="Minion Pro"/>
        </w:rPr>
        <w:t xml:space="preserve">nebylo zjištěno tolik </w:t>
      </w:r>
      <w:r w:rsidR="00BE347D">
        <w:rPr>
          <w:rStyle w:val="Zdraznn"/>
          <w:rFonts w:ascii="Minion Pro" w:hAnsi="Minion Pro"/>
        </w:rPr>
        <w:t>porušení zákona</w:t>
      </w:r>
      <w:r w:rsidR="0084754E">
        <w:rPr>
          <w:rStyle w:val="Zdraznn"/>
          <w:rFonts w:ascii="Minion Pro" w:hAnsi="Minion Pro"/>
        </w:rPr>
        <w:t>.</w:t>
      </w:r>
      <w:r w:rsidR="00FF41D9">
        <w:rPr>
          <w:rStyle w:val="Zdraznn"/>
          <w:rFonts w:ascii="Minion Pro" w:hAnsi="Minion Pro"/>
        </w:rPr>
        <w:t xml:space="preserve"> </w:t>
      </w:r>
      <w:r w:rsidR="0076017A">
        <w:rPr>
          <w:rStyle w:val="Zdraznn"/>
          <w:rFonts w:ascii="Minion Pro" w:hAnsi="Minion Pro"/>
        </w:rPr>
        <w:t xml:space="preserve">Tato </w:t>
      </w:r>
      <w:r w:rsidR="0084754E">
        <w:rPr>
          <w:rStyle w:val="Zdraznn"/>
          <w:rFonts w:ascii="Minion Pro" w:hAnsi="Minion Pro"/>
        </w:rPr>
        <w:t xml:space="preserve">data potvrzují trend rostoucí disciplíny u větších podniků, zejména </w:t>
      </w:r>
      <w:r w:rsidR="000F162A">
        <w:rPr>
          <w:rStyle w:val="Zdraznn"/>
          <w:rFonts w:ascii="Minion Pro" w:hAnsi="Minion Pro"/>
        </w:rPr>
        <w:t xml:space="preserve">tedy </w:t>
      </w:r>
      <w:r w:rsidR="0084754E">
        <w:rPr>
          <w:rStyle w:val="Zdraznn"/>
          <w:rFonts w:ascii="Minion Pro" w:hAnsi="Minion Pro"/>
        </w:rPr>
        <w:t xml:space="preserve">u </w:t>
      </w:r>
      <w:r w:rsidR="000F162A">
        <w:rPr>
          <w:rStyle w:val="Zdraznn"/>
          <w:rFonts w:ascii="Minion Pro" w:hAnsi="Minion Pro"/>
        </w:rPr>
        <w:t>zhruba</w:t>
      </w:r>
      <w:r w:rsidR="0084754E">
        <w:rPr>
          <w:rStyle w:val="Zdraznn"/>
          <w:rFonts w:ascii="Minion Pro" w:hAnsi="Minion Pro"/>
        </w:rPr>
        <w:t xml:space="preserve"> 2 200 </w:t>
      </w:r>
      <w:r w:rsidR="00BE347D">
        <w:rPr>
          <w:rStyle w:val="Zdraznn"/>
          <w:rFonts w:ascii="Minion Pro" w:hAnsi="Minion Pro"/>
        </w:rPr>
        <w:t xml:space="preserve">zařízení </w:t>
      </w:r>
      <w:r w:rsidR="0019356D">
        <w:rPr>
          <w:rStyle w:val="Zdraznn"/>
          <w:rFonts w:ascii="Minion Pro" w:hAnsi="Minion Pro"/>
        </w:rPr>
        <w:t>podl</w:t>
      </w:r>
      <w:r w:rsidR="00A53163">
        <w:rPr>
          <w:rStyle w:val="Zdraznn"/>
          <w:rFonts w:ascii="Minion Pro" w:hAnsi="Minion Pro"/>
        </w:rPr>
        <w:t xml:space="preserve">éhajících zákonu o </w:t>
      </w:r>
      <w:r w:rsidR="0084754E">
        <w:rPr>
          <w:rStyle w:val="Zdraznn"/>
          <w:rFonts w:ascii="Minion Pro" w:hAnsi="Minion Pro"/>
        </w:rPr>
        <w:t>integrované prevenci a přísným evropským normám</w:t>
      </w:r>
      <w:r w:rsidR="00BF307F" w:rsidRPr="006F5411">
        <w:rPr>
          <w:rStyle w:val="Zdraznn"/>
          <w:rFonts w:ascii="Minion Pro" w:hAnsi="Minion Pro"/>
        </w:rPr>
        <w:t>,“</w:t>
      </w:r>
      <w:r w:rsidR="00BF307F" w:rsidRPr="006F5411">
        <w:rPr>
          <w:rFonts w:ascii="Minion Pro" w:hAnsi="Minion Pro"/>
        </w:rPr>
        <w:t xml:space="preserve"> </w:t>
      </w:r>
      <w:r w:rsidR="00BF307F">
        <w:rPr>
          <w:rFonts w:ascii="Minion Pro" w:hAnsi="Minion Pro"/>
        </w:rPr>
        <w:t>řekl</w:t>
      </w:r>
      <w:r w:rsidRPr="006F5411">
        <w:rPr>
          <w:rFonts w:ascii="Minion Pro" w:hAnsi="Minion Pro"/>
        </w:rPr>
        <w:t xml:space="preserve"> Erik Geuss, ředitel ČIŽP.</w:t>
      </w:r>
    </w:p>
    <w:p w:rsidR="00F7148B" w:rsidRDefault="00C715FC" w:rsidP="006F5CE0">
      <w:pPr>
        <w:pStyle w:val="Default"/>
        <w:rPr>
          <w:rFonts w:ascii="Minion Pro" w:eastAsia="Times New Roman" w:hAnsi="Minion Pro" w:cs="Times New Roman"/>
          <w:color w:val="auto"/>
          <w:lang w:eastAsia="cs-CZ"/>
        </w:rPr>
      </w:pPr>
      <w:r w:rsidRPr="00B00DE9">
        <w:rPr>
          <w:rFonts w:ascii="Minion Pro" w:eastAsia="Times New Roman" w:hAnsi="Minion Pro" w:cs="Times New Roman"/>
          <w:color w:val="auto"/>
          <w:lang w:eastAsia="cs-CZ"/>
        </w:rPr>
        <w:t>Z</w:t>
      </w:r>
      <w:r w:rsidR="00DB5F33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c</w:t>
      </w:r>
      <w:r w:rsidR="006F5411" w:rsidRPr="00B00DE9">
        <w:rPr>
          <w:rFonts w:ascii="Minion Pro" w:eastAsia="Times New Roman" w:hAnsi="Minion Pro" w:cs="Times New Roman"/>
          <w:color w:val="auto"/>
          <w:lang w:eastAsia="cs-CZ"/>
        </w:rPr>
        <w:t>elorepublikového hledi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ska 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činila v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loni 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nejvyšší p</w:t>
      </w:r>
      <w:r w:rsidR="00FF41D9" w:rsidRPr="00B00DE9">
        <w:rPr>
          <w:rFonts w:ascii="Minion Pro" w:eastAsia="Times New Roman" w:hAnsi="Minion Pro" w:cs="Times New Roman"/>
          <w:color w:val="auto"/>
          <w:lang w:eastAsia="cs-CZ"/>
        </w:rPr>
        <w:t>o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kuta dva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  <w:r w:rsidR="00DB5F33" w:rsidRPr="00B00DE9">
        <w:rPr>
          <w:rFonts w:ascii="Minion Pro" w:eastAsia="Times New Roman" w:hAnsi="Minion Pro" w:cs="Times New Roman"/>
          <w:color w:val="auto"/>
          <w:lang w:eastAsia="cs-CZ"/>
        </w:rPr>
        <w:t>miliony koruny. Dostaly ji tři subjekty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. </w:t>
      </w:r>
      <w:r w:rsidR="00DB5F33" w:rsidRPr="00B00DE9">
        <w:rPr>
          <w:rFonts w:ascii="Minion Pro" w:eastAsia="Times New Roman" w:hAnsi="Minion Pro" w:cs="Times New Roman"/>
          <w:color w:val="auto"/>
          <w:lang w:eastAsia="cs-CZ"/>
        </w:rPr>
        <w:t>Správa železniční do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>pravní cesty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, s. p. 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za kácení velkého množství dřevin 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bez 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>povolení podél tratí na území celé republiky.</w:t>
      </w:r>
      <w:r w:rsidR="00CA2C8B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 xml:space="preserve">Dále byla dvěma miliony potrestána 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>společnost KLIO, s.r.o.</w:t>
      </w:r>
      <w:r w:rsidR="00AD7541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za opakované vyp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>ouštění nedostatečně předčištěných srážkových</w:t>
      </w:r>
      <w:r w:rsidR="00CA2C8B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vod z čistírny odpadních vod do Zličínského potoka. </w:t>
      </w:r>
      <w:r w:rsidR="00AD7541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Třetím subjektem s touto </w:t>
      </w:r>
      <w:r w:rsidR="00555F15" w:rsidRPr="00B00DE9">
        <w:rPr>
          <w:rFonts w:ascii="Minion Pro" w:eastAsia="Times New Roman" w:hAnsi="Minion Pro" w:cs="Times New Roman"/>
          <w:color w:val="auto"/>
          <w:lang w:eastAsia="cs-CZ"/>
        </w:rPr>
        <w:t>výší sankce byla společnost LAGRON</w:t>
      </w:r>
      <w:r w:rsidR="00CA2C8B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s.r.o.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 xml:space="preserve">, která nesplnila </w:t>
      </w:r>
      <w:r w:rsidR="00555F15" w:rsidRPr="00B00DE9">
        <w:rPr>
          <w:rFonts w:ascii="Minion Pro" w:eastAsia="Times New Roman" w:hAnsi="Minion Pro" w:cs="Times New Roman"/>
          <w:color w:val="auto"/>
          <w:lang w:eastAsia="cs-CZ"/>
        </w:rPr>
        <w:t>opatření k nápravě – nezalesn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ila</w:t>
      </w:r>
      <w:r w:rsidR="00555F15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deset hektarů holin vzniklých po rozsáhlých těžbách u obcí Stebno a Chvalov na Ústecku. </w:t>
      </w:r>
      <w:r w:rsidR="00AD7541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</w:p>
    <w:p w:rsidR="00B00DE9" w:rsidRPr="00B00DE9" w:rsidRDefault="00B00DE9" w:rsidP="006F5CE0">
      <w:pPr>
        <w:pStyle w:val="Default"/>
        <w:rPr>
          <w:rFonts w:ascii="Minion Pro" w:hAnsi="Minion Pro"/>
          <w:bCs/>
        </w:rPr>
      </w:pPr>
    </w:p>
    <w:p w:rsidR="00E960A4" w:rsidRPr="00B00DE9" w:rsidRDefault="0044592F" w:rsidP="00B00DE9">
      <w:pPr>
        <w:pStyle w:val="Default"/>
        <w:rPr>
          <w:rFonts w:ascii="Minion Pro" w:eastAsia="Times New Roman" w:hAnsi="Minion Pro" w:cs="Times New Roman"/>
          <w:color w:val="auto"/>
          <w:lang w:eastAsia="cs-CZ"/>
        </w:rPr>
      </w:pPr>
      <w:r>
        <w:rPr>
          <w:rFonts w:ascii="Minion Pro" w:eastAsia="Times New Roman" w:hAnsi="Minion Pro" w:cs="Times New Roman"/>
          <w:color w:val="auto"/>
          <w:lang w:eastAsia="cs-CZ"/>
        </w:rPr>
        <w:t>Nejvyšší pokutu vyměřenou</w:t>
      </w:r>
      <w:r w:rsidR="00B630AF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Oblastním inspektoráte</w:t>
      </w:r>
      <w:r w:rsidR="00DA6CEF">
        <w:rPr>
          <w:rFonts w:ascii="Minion Pro" w:eastAsia="Times New Roman" w:hAnsi="Minion Pro" w:cs="Times New Roman"/>
          <w:color w:val="auto"/>
          <w:lang w:eastAsia="cs-CZ"/>
        </w:rPr>
        <w:t>m České Budějovice</w:t>
      </w:r>
      <w:r>
        <w:rPr>
          <w:rFonts w:ascii="Minion Pro" w:eastAsia="Times New Roman" w:hAnsi="Minion Pro" w:cs="Times New Roman"/>
          <w:color w:val="auto"/>
          <w:lang w:eastAsia="cs-CZ"/>
        </w:rPr>
        <w:t xml:space="preserve"> dosta</w:t>
      </w:r>
      <w:r w:rsidR="00DA6CEF">
        <w:rPr>
          <w:rFonts w:ascii="Minion Pro" w:eastAsia="Times New Roman" w:hAnsi="Minion Pro" w:cs="Times New Roman"/>
          <w:color w:val="auto"/>
          <w:lang w:eastAsia="cs-CZ"/>
        </w:rPr>
        <w:t xml:space="preserve">la společnost </w:t>
      </w:r>
      <w:r w:rsidR="00DA6CEF" w:rsidRPr="0006011F">
        <w:rPr>
          <w:rFonts w:ascii="Minion Pro" w:eastAsia="Times New Roman" w:hAnsi="Minion Pro" w:cs="Times New Roman"/>
          <w:color w:val="000000" w:themeColor="text1"/>
          <w:lang w:eastAsia="cs-CZ"/>
        </w:rPr>
        <w:t>V</w:t>
      </w:r>
      <w:r w:rsidR="00325B8B" w:rsidRPr="0006011F">
        <w:rPr>
          <w:rFonts w:ascii="Minion Pro" w:eastAsia="Times New Roman" w:hAnsi="Minion Pro" w:cs="Times New Roman"/>
          <w:color w:val="000000" w:themeColor="text1"/>
          <w:lang w:eastAsia="cs-CZ"/>
        </w:rPr>
        <w:t>illena</w:t>
      </w:r>
      <w:r w:rsidR="005D0B05">
        <w:rPr>
          <w:rFonts w:ascii="Minion Pro" w:eastAsia="Times New Roman" w:hAnsi="Minion Pro" w:cs="Times New Roman"/>
          <w:color w:val="auto"/>
          <w:lang w:eastAsia="cs-CZ"/>
        </w:rPr>
        <w:t xml:space="preserve"> s.r.o. </w:t>
      </w:r>
      <w:r w:rsidR="005D0B05" w:rsidRPr="005D0B05">
        <w:rPr>
          <w:rFonts w:ascii="Minion Pro" w:eastAsia="Times New Roman" w:hAnsi="Minion Pro" w:cs="Times New Roman"/>
          <w:i/>
          <w:color w:val="auto"/>
          <w:lang w:eastAsia="cs-CZ"/>
        </w:rPr>
        <w:t>„Z</w:t>
      </w:r>
      <w:r w:rsidRPr="005D0B05">
        <w:rPr>
          <w:rFonts w:ascii="Minion Pro" w:eastAsia="Times New Roman" w:hAnsi="Minion Pro" w:cs="Times New Roman"/>
          <w:i/>
          <w:color w:val="auto"/>
          <w:lang w:eastAsia="cs-CZ"/>
        </w:rPr>
        <w:t>a</w:t>
      </w:r>
      <w:r w:rsidR="00DA6CEF">
        <w:rPr>
          <w:rFonts w:ascii="Minion Pro" w:eastAsia="Times New Roman" w:hAnsi="Minion Pro" w:cs="Times New Roman"/>
          <w:i/>
          <w:color w:val="auto"/>
          <w:lang w:eastAsia="cs-CZ"/>
        </w:rPr>
        <w:t xml:space="preserve"> vykácení více než 840 metrů krychlových dřeva bez povolení v lokalitě Děkanské Skaliny na Českokrumlovsku jsme jí uložili pokutu 1,2 milionu korun.</w:t>
      </w:r>
      <w:r w:rsidR="005B6148">
        <w:rPr>
          <w:rFonts w:ascii="Minion Pro" w:eastAsia="Times New Roman" w:hAnsi="Minion Pro" w:cs="Times New Roman"/>
          <w:i/>
          <w:color w:val="auto"/>
          <w:lang w:eastAsia="cs-CZ"/>
        </w:rPr>
        <w:t xml:space="preserve"> Při </w:t>
      </w:r>
      <w:r w:rsidR="00DA6CEF">
        <w:rPr>
          <w:rFonts w:ascii="Minion Pro" w:eastAsia="Times New Roman" w:hAnsi="Minion Pro" w:cs="Times New Roman"/>
          <w:i/>
          <w:color w:val="auto"/>
          <w:lang w:eastAsia="cs-CZ"/>
        </w:rPr>
        <w:t>nepovolené těžbě vznikly holiny o celkové výměře 0,96 hektaru. Mezi vykácenými porosty byly navíc i ty mladší 80 let</w:t>
      </w:r>
      <w:r w:rsidR="0076017A">
        <w:rPr>
          <w:rFonts w:ascii="Minion Pro" w:eastAsia="Times New Roman" w:hAnsi="Minion Pro" w:cs="Times New Roman"/>
          <w:i/>
          <w:color w:val="auto"/>
          <w:lang w:eastAsia="cs-CZ"/>
        </w:rPr>
        <w:t>, c</w:t>
      </w:r>
      <w:r w:rsidR="00DA6CEF">
        <w:rPr>
          <w:rFonts w:ascii="Minion Pro" w:eastAsia="Times New Roman" w:hAnsi="Minion Pro" w:cs="Times New Roman"/>
          <w:i/>
          <w:color w:val="auto"/>
          <w:lang w:eastAsia="cs-CZ"/>
        </w:rPr>
        <w:t>ož je v rozporu se zákonem o lesích,“</w:t>
      </w:r>
      <w:r w:rsidR="005B6148">
        <w:rPr>
          <w:rFonts w:ascii="Minion Pro" w:eastAsia="Times New Roman" w:hAnsi="Minion Pro" w:cs="Times New Roman"/>
          <w:i/>
          <w:color w:val="auto"/>
          <w:lang w:eastAsia="cs-CZ"/>
        </w:rPr>
        <w:t xml:space="preserve"> </w:t>
      </w:r>
      <w:r w:rsidR="005B6148">
        <w:rPr>
          <w:rFonts w:ascii="Minion Pro" w:hAnsi="Minion Pro"/>
          <w:iCs/>
          <w:lang w:eastAsia="cs-CZ"/>
        </w:rPr>
        <w:t>uvedl Vladimír Jiráček</w:t>
      </w:r>
      <w:r w:rsidR="003A5B37">
        <w:rPr>
          <w:rFonts w:ascii="Minion Pro" w:hAnsi="Minion Pro"/>
          <w:iCs/>
          <w:lang w:eastAsia="cs-CZ"/>
        </w:rPr>
        <w:t xml:space="preserve">, ředitel </w:t>
      </w:r>
      <w:r w:rsidR="005D0B05">
        <w:rPr>
          <w:rFonts w:ascii="Minion Pro" w:hAnsi="Minion Pro"/>
          <w:iCs/>
          <w:lang w:eastAsia="cs-CZ"/>
        </w:rPr>
        <w:t xml:space="preserve">Oblastního </w:t>
      </w:r>
      <w:r w:rsidR="005B6148">
        <w:rPr>
          <w:rFonts w:ascii="Minion Pro" w:hAnsi="Minion Pro"/>
          <w:iCs/>
          <w:lang w:eastAsia="cs-CZ"/>
        </w:rPr>
        <w:t>inspektorátu ČIŽP České Budějovice</w:t>
      </w:r>
      <w:r w:rsidR="005D0B05">
        <w:rPr>
          <w:rFonts w:ascii="Minion Pro" w:hAnsi="Minion Pro"/>
          <w:iCs/>
          <w:lang w:eastAsia="cs-CZ"/>
        </w:rPr>
        <w:t>.</w:t>
      </w:r>
      <w:r w:rsidR="005D0B05">
        <w:rPr>
          <w:rFonts w:ascii="Minion Pro" w:hAnsi="Minion Pro"/>
          <w:i/>
          <w:iCs/>
          <w:lang w:eastAsia="cs-CZ"/>
        </w:rPr>
        <w:t xml:space="preserve"> </w:t>
      </w:r>
      <w:r w:rsidR="005B6148">
        <w:rPr>
          <w:rFonts w:ascii="Minion Pro" w:eastAsia="Times New Roman" w:hAnsi="Minion Pro" w:cs="Times New Roman"/>
          <w:color w:val="auto"/>
          <w:lang w:eastAsia="cs-CZ"/>
        </w:rPr>
        <w:t xml:space="preserve">Další </w:t>
      </w:r>
      <w:r w:rsidR="0006011F" w:rsidRPr="00B72210">
        <w:rPr>
          <w:rFonts w:ascii="Minion Pro" w:eastAsia="Times New Roman" w:hAnsi="Minion Pro" w:cs="Times New Roman"/>
          <w:color w:val="000000" w:themeColor="text1"/>
          <w:lang w:eastAsia="cs-CZ"/>
        </w:rPr>
        <w:t>dvě</w:t>
      </w:r>
      <w:r w:rsidR="0006011F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  <w:r w:rsidR="005B6148">
        <w:rPr>
          <w:rFonts w:ascii="Minion Pro" w:eastAsia="Times New Roman" w:hAnsi="Minion Pro" w:cs="Times New Roman"/>
          <w:color w:val="auto"/>
          <w:lang w:eastAsia="cs-CZ"/>
        </w:rPr>
        <w:t>významné pokuty v celkové výši 540 tisíc korun dostala společnost FCC Dačice, s.r.o.</w:t>
      </w:r>
      <w:r w:rsidR="005D0B05">
        <w:rPr>
          <w:rFonts w:ascii="Minion Pro" w:eastAsia="Times New Roman" w:hAnsi="Minion Pro" w:cs="Times New Roman"/>
          <w:color w:val="auto"/>
          <w:lang w:eastAsia="cs-CZ"/>
        </w:rPr>
        <w:t>,</w:t>
      </w:r>
      <w:r w:rsidR="005B6148">
        <w:rPr>
          <w:rFonts w:ascii="Minion Pro" w:eastAsia="Times New Roman" w:hAnsi="Minion Pro" w:cs="Times New Roman"/>
          <w:color w:val="auto"/>
          <w:lang w:eastAsia="cs-CZ"/>
        </w:rPr>
        <w:t xml:space="preserve"> která provozuje Skládku Borek u Dačic na Jindřichohradecku.</w:t>
      </w:r>
      <w:r w:rsidR="00325B8B">
        <w:rPr>
          <w:rFonts w:ascii="Minion Pro" w:eastAsia="Times New Roman" w:hAnsi="Minion Pro" w:cs="Times New Roman"/>
          <w:color w:val="FF0000"/>
          <w:lang w:eastAsia="cs-CZ"/>
        </w:rPr>
        <w:t xml:space="preserve"> </w:t>
      </w:r>
      <w:r w:rsidR="005B6148" w:rsidRPr="0006011F">
        <w:rPr>
          <w:rFonts w:ascii="Minion Pro" w:eastAsia="Times New Roman" w:hAnsi="Minion Pro" w:cs="Times New Roman"/>
          <w:color w:val="auto"/>
          <w:lang w:eastAsia="cs-CZ"/>
        </w:rPr>
        <w:t xml:space="preserve">Při </w:t>
      </w:r>
      <w:r w:rsidR="0006011F">
        <w:rPr>
          <w:rFonts w:ascii="Minion Pro" w:eastAsia="Times New Roman" w:hAnsi="Minion Pro" w:cs="Times New Roman"/>
          <w:color w:val="auto"/>
          <w:lang w:eastAsia="cs-CZ"/>
        </w:rPr>
        <w:t xml:space="preserve">jejím provozu </w:t>
      </w:r>
      <w:r w:rsidR="005B6148" w:rsidRPr="0006011F">
        <w:rPr>
          <w:rFonts w:ascii="Minion Pro" w:eastAsia="Times New Roman" w:hAnsi="Minion Pro" w:cs="Times New Roman"/>
          <w:color w:val="auto"/>
          <w:lang w:eastAsia="cs-CZ"/>
        </w:rPr>
        <w:t xml:space="preserve">došlo k porušení podmínek integrovaného povolení. </w:t>
      </w:r>
      <w:r w:rsidR="0006011F">
        <w:rPr>
          <w:rFonts w:ascii="Minion Pro" w:eastAsia="Times New Roman" w:hAnsi="Minion Pro" w:cs="Times New Roman"/>
          <w:color w:val="auto"/>
          <w:lang w:eastAsia="cs-CZ"/>
        </w:rPr>
        <w:t>„</w:t>
      </w:r>
      <w:r w:rsidR="005B6148" w:rsidRPr="00B72210">
        <w:rPr>
          <w:rFonts w:ascii="Minion Pro" w:eastAsia="Times New Roman" w:hAnsi="Minion Pro" w:cs="Times New Roman"/>
          <w:i/>
          <w:color w:val="000000" w:themeColor="text1"/>
          <w:lang w:eastAsia="cs-CZ"/>
        </w:rPr>
        <w:t>První</w:t>
      </w:r>
      <w:r w:rsidR="005B6148" w:rsidRPr="0006011F">
        <w:rPr>
          <w:rFonts w:ascii="Minion Pro" w:eastAsia="Times New Roman" w:hAnsi="Minion Pro" w:cs="Times New Roman"/>
          <w:i/>
          <w:color w:val="FF0000"/>
          <w:lang w:eastAsia="cs-CZ"/>
        </w:rPr>
        <w:t xml:space="preserve"> </w:t>
      </w:r>
      <w:r w:rsidR="005B6148" w:rsidRPr="0076017A">
        <w:rPr>
          <w:rFonts w:ascii="Minion Pro" w:eastAsia="Times New Roman" w:hAnsi="Minion Pro" w:cs="Times New Roman"/>
          <w:i/>
          <w:color w:val="auto"/>
          <w:lang w:eastAsia="cs-CZ"/>
        </w:rPr>
        <w:t>pokuta uložená společnosti byla ve výši 400 tisíc korun například za otevřené plynosběrné studny, z nichž unikal skládkový plyn volně do ovzduší</w:t>
      </w:r>
      <w:r w:rsidR="0076017A" w:rsidRPr="0076017A">
        <w:rPr>
          <w:rFonts w:ascii="Minion Pro" w:eastAsia="Times New Roman" w:hAnsi="Minion Pro" w:cs="Times New Roman"/>
          <w:i/>
          <w:color w:val="auto"/>
          <w:lang w:eastAsia="cs-CZ"/>
        </w:rPr>
        <w:t xml:space="preserve">. Firma </w:t>
      </w:r>
      <w:r w:rsidR="0006011F">
        <w:rPr>
          <w:rFonts w:ascii="Minion Pro" w:eastAsia="Times New Roman" w:hAnsi="Minion Pro" w:cs="Times New Roman"/>
          <w:i/>
          <w:color w:val="auto"/>
          <w:lang w:eastAsia="cs-CZ"/>
        </w:rPr>
        <w:t xml:space="preserve">také </w:t>
      </w:r>
      <w:r w:rsidR="0076017A" w:rsidRPr="0076017A">
        <w:rPr>
          <w:rFonts w:ascii="Minion Pro" w:eastAsia="Times New Roman" w:hAnsi="Minion Pro" w:cs="Times New Roman"/>
          <w:i/>
          <w:color w:val="auto"/>
          <w:lang w:eastAsia="cs-CZ"/>
        </w:rPr>
        <w:t>dostatečně neprová</w:t>
      </w:r>
      <w:r w:rsidR="0076017A">
        <w:rPr>
          <w:rFonts w:ascii="Minion Pro" w:eastAsia="Times New Roman" w:hAnsi="Minion Pro" w:cs="Times New Roman"/>
          <w:i/>
          <w:color w:val="auto"/>
          <w:lang w:eastAsia="cs-CZ"/>
        </w:rPr>
        <w:t xml:space="preserve">děla monitoring tohoto plynu a </w:t>
      </w:r>
      <w:r w:rsidR="0076017A" w:rsidRPr="0076017A">
        <w:rPr>
          <w:rFonts w:ascii="Minion Pro" w:eastAsia="Times New Roman" w:hAnsi="Minion Pro" w:cs="Times New Roman"/>
          <w:i/>
          <w:color w:val="auto"/>
          <w:lang w:eastAsia="cs-CZ"/>
        </w:rPr>
        <w:t>nevhodně nakládala s průsakovými vodami, kdy se z nich přímo na tělese skládky tvořila laguna.</w:t>
      </w:r>
      <w:r w:rsidR="0006011F">
        <w:rPr>
          <w:rFonts w:ascii="Minion Pro" w:eastAsia="Times New Roman" w:hAnsi="Minion Pro" w:cs="Times New Roman"/>
          <w:i/>
          <w:color w:val="auto"/>
          <w:lang w:eastAsia="cs-CZ"/>
        </w:rPr>
        <w:t xml:space="preserve"> </w:t>
      </w:r>
      <w:r w:rsidR="0006011F" w:rsidRPr="00B72210">
        <w:rPr>
          <w:rFonts w:ascii="Minion Pro" w:eastAsia="Times New Roman" w:hAnsi="Minion Pro" w:cs="Times New Roman"/>
          <w:i/>
          <w:color w:val="000000" w:themeColor="text1"/>
          <w:lang w:eastAsia="cs-CZ"/>
        </w:rPr>
        <w:t>Druhou</w:t>
      </w:r>
      <w:r w:rsidR="0076017A">
        <w:rPr>
          <w:rFonts w:ascii="Minion Pro" w:eastAsia="Times New Roman" w:hAnsi="Minion Pro" w:cs="Times New Roman"/>
          <w:i/>
          <w:color w:val="auto"/>
          <w:lang w:eastAsia="cs-CZ"/>
        </w:rPr>
        <w:t xml:space="preserve"> pokutu </w:t>
      </w:r>
      <w:r w:rsidR="0076017A">
        <w:rPr>
          <w:rFonts w:ascii="Minion Pro" w:eastAsia="Times New Roman" w:hAnsi="Minion Pro" w:cs="Times New Roman"/>
          <w:i/>
          <w:color w:val="auto"/>
          <w:lang w:eastAsia="cs-CZ"/>
        </w:rPr>
        <w:lastRenderedPageBreak/>
        <w:t xml:space="preserve">ve výši 140 tisíc korun jsme </w:t>
      </w:r>
      <w:r w:rsidR="0006011F">
        <w:rPr>
          <w:rFonts w:ascii="Minion Pro" w:eastAsia="Times New Roman" w:hAnsi="Minion Pro" w:cs="Times New Roman"/>
          <w:i/>
          <w:color w:val="auto"/>
          <w:lang w:eastAsia="cs-CZ"/>
        </w:rPr>
        <w:t xml:space="preserve">firmě </w:t>
      </w:r>
      <w:r w:rsidR="0076017A">
        <w:rPr>
          <w:rFonts w:ascii="Minion Pro" w:eastAsia="Times New Roman" w:hAnsi="Minion Pro" w:cs="Times New Roman"/>
          <w:i/>
          <w:color w:val="auto"/>
          <w:lang w:eastAsia="cs-CZ"/>
        </w:rPr>
        <w:t xml:space="preserve">uložili po další kontrole za to, že nebyla provedena kompletní jednorázová analýza odvážených průsakových vod. U dvou odplyňovacích studní neudělal provozovatel monitoring skládkového plynu a nepřipojil pět plynosběrných studní do aktivního odsávacího systému skládky,“ </w:t>
      </w:r>
      <w:r w:rsidR="0076017A">
        <w:rPr>
          <w:rFonts w:ascii="Minion Pro" w:eastAsia="Times New Roman" w:hAnsi="Minion Pro" w:cs="Times New Roman"/>
          <w:color w:val="auto"/>
          <w:lang w:eastAsia="cs-CZ"/>
        </w:rPr>
        <w:t>doplnil Jiráček.</w:t>
      </w:r>
    </w:p>
    <w:p w:rsidR="000A3F6E" w:rsidRDefault="00BB2519">
      <w:pPr>
        <w:pStyle w:val="Normlnweb"/>
      </w:pPr>
      <w:r>
        <w:rPr>
          <w:rFonts w:ascii="Minion Pro" w:hAnsi="Minion Pro"/>
        </w:rPr>
        <w:t>Inspektoři provedli také 600</w:t>
      </w:r>
      <w:r w:rsidR="006F5411" w:rsidRPr="006F5411">
        <w:rPr>
          <w:rFonts w:ascii="Minion Pro" w:hAnsi="Minion Pro"/>
        </w:rPr>
        <w:t xml:space="preserve"> kontrol podle zákona o obchodování s ohroženými druhy rostli</w:t>
      </w:r>
      <w:r w:rsidR="00036102">
        <w:rPr>
          <w:rFonts w:ascii="Minion Pro" w:hAnsi="Minion Pro"/>
        </w:rPr>
        <w:t xml:space="preserve">n a </w:t>
      </w:r>
      <w:r>
        <w:rPr>
          <w:rFonts w:ascii="Minion Pro" w:hAnsi="Minion Pro"/>
        </w:rPr>
        <w:t>živočichů (CITES), vedli 198</w:t>
      </w:r>
      <w:r w:rsidR="006F5411" w:rsidRPr="006F5411">
        <w:rPr>
          <w:rFonts w:ascii="Minion Pro" w:hAnsi="Minion Pro"/>
        </w:rPr>
        <w:t xml:space="preserve"> pokutových řízení a uložili pokuty ve výš</w:t>
      </w:r>
      <w:r>
        <w:rPr>
          <w:rFonts w:ascii="Minion Pro" w:hAnsi="Minion Pro"/>
        </w:rPr>
        <w:t>i 417 500 korun. Zabaveno bylo 347</w:t>
      </w:r>
      <w:r w:rsidR="006F5411" w:rsidRPr="006F5411">
        <w:rPr>
          <w:rFonts w:ascii="Minion Pro" w:hAnsi="Minion Pro"/>
        </w:rPr>
        <w:t xml:space="preserve"> živých exemplářů ohro</w:t>
      </w:r>
      <w:r>
        <w:rPr>
          <w:rFonts w:ascii="Minion Pro" w:hAnsi="Minion Pro"/>
        </w:rPr>
        <w:t>žených živočichů a rostlin a 1245</w:t>
      </w:r>
      <w:r w:rsidR="006F5411" w:rsidRPr="006F5411">
        <w:rPr>
          <w:rFonts w:ascii="Minion Pro" w:hAnsi="Minion Pro"/>
        </w:rPr>
        <w:t xml:space="preserve"> </w:t>
      </w:r>
      <w:r>
        <w:rPr>
          <w:rFonts w:ascii="Minion Pro" w:hAnsi="Minion Pro"/>
        </w:rPr>
        <w:t xml:space="preserve">neživých exemplářů (výrobky). Při kontrolách vývozu a dovozu </w:t>
      </w:r>
      <w:r w:rsidR="006F5411" w:rsidRPr="006F5411">
        <w:rPr>
          <w:rFonts w:ascii="Minion Pro" w:hAnsi="Minion Pro"/>
        </w:rPr>
        <w:t>exemplářů</w:t>
      </w:r>
      <w:r>
        <w:rPr>
          <w:rFonts w:ascii="Minion Pro" w:hAnsi="Minion Pro"/>
        </w:rPr>
        <w:t xml:space="preserve"> CITES inspektoři stále zaznamenávají značný podíl občanů vietnamské národnosti na porušování zákonů.</w:t>
      </w:r>
      <w:r w:rsidR="002E5405">
        <w:rPr>
          <w:rFonts w:ascii="Minion Pro" w:hAnsi="Minion Pro"/>
        </w:rPr>
        <w:t xml:space="preserve"> </w:t>
      </w:r>
      <w:r w:rsidR="006F5411" w:rsidRPr="006F5411">
        <w:rPr>
          <w:rStyle w:val="Zdraznn"/>
          <w:rFonts w:ascii="Minion Pro" w:hAnsi="Minion Pro"/>
        </w:rPr>
        <w:t>„V</w:t>
      </w:r>
      <w:r w:rsidR="002E5405">
        <w:rPr>
          <w:rStyle w:val="Zdraznn"/>
          <w:rFonts w:ascii="Minion Pro" w:hAnsi="Minion Pro"/>
        </w:rPr>
        <w:t xml:space="preserve"> roce 2017 byl ve 44 % </w:t>
      </w:r>
      <w:r w:rsidR="006F5411" w:rsidRPr="006F5411">
        <w:rPr>
          <w:rStyle w:val="Zdraznn"/>
          <w:rFonts w:ascii="Minion Pro" w:hAnsi="Minion Pro"/>
        </w:rPr>
        <w:t>pří</w:t>
      </w:r>
      <w:r w:rsidR="000960AC">
        <w:rPr>
          <w:rStyle w:val="Zdraznn"/>
          <w:rFonts w:ascii="Minion Pro" w:hAnsi="Minion Pro"/>
        </w:rPr>
        <w:t xml:space="preserve">padů zjištěn </w:t>
      </w:r>
      <w:r w:rsidR="006F5411" w:rsidRPr="006F5411">
        <w:rPr>
          <w:rStyle w:val="Zdraznn"/>
          <w:rFonts w:ascii="Minion Pro" w:hAnsi="Minion Pro"/>
        </w:rPr>
        <w:t>pachatel v</w:t>
      </w:r>
      <w:r w:rsidR="002E5405">
        <w:rPr>
          <w:rStyle w:val="Zdraznn"/>
          <w:rFonts w:ascii="Minion Pro" w:hAnsi="Minion Pro"/>
        </w:rPr>
        <w:t xml:space="preserve">ietnamské národnosti. </w:t>
      </w:r>
      <w:r w:rsidR="006E4419">
        <w:rPr>
          <w:rStyle w:val="Zdraznn"/>
          <w:rFonts w:ascii="Minion Pro" w:hAnsi="Minion Pro"/>
        </w:rPr>
        <w:t>Předl</w:t>
      </w:r>
      <w:r w:rsidR="002E5405">
        <w:rPr>
          <w:rStyle w:val="Zdraznn"/>
          <w:rFonts w:ascii="Minion Pro" w:hAnsi="Minion Pro"/>
        </w:rPr>
        <w:t xml:space="preserve">oni to bylo dokonce 56 %. Nadále </w:t>
      </w:r>
      <w:r w:rsidR="00F771EF">
        <w:rPr>
          <w:rStyle w:val="Zdraznn"/>
          <w:rFonts w:ascii="Minion Pro" w:hAnsi="Minion Pro"/>
        </w:rPr>
        <w:t>pok</w:t>
      </w:r>
      <w:r w:rsidR="006F5411" w:rsidRPr="006F5411">
        <w:rPr>
          <w:rStyle w:val="Zdraznn"/>
          <w:rFonts w:ascii="Minion Pro" w:hAnsi="Minion Pro"/>
        </w:rPr>
        <w:t>račovala spolupráce s celní správou a policií na závažných případech nelegáln</w:t>
      </w:r>
      <w:r w:rsidR="00930745">
        <w:rPr>
          <w:rStyle w:val="Zdraznn"/>
          <w:rFonts w:ascii="Minion Pro" w:hAnsi="Minion Pro"/>
        </w:rPr>
        <w:t xml:space="preserve">ího obchodu se slonovinou, nosorožčími rohy a </w:t>
      </w:r>
      <w:r w:rsidR="002E5405">
        <w:rPr>
          <w:rStyle w:val="Zdraznn"/>
          <w:rFonts w:ascii="Minion Pro" w:hAnsi="Minion Pro"/>
        </w:rPr>
        <w:t xml:space="preserve">tygřími kostmi. Inspektoři ČIŽP také jako odborní konzultanti asistovali u domovních prohlídek prováděných orgány činnými v trestním řízení,“ </w:t>
      </w:r>
      <w:r w:rsidR="002E5405">
        <w:rPr>
          <w:rFonts w:ascii="Minion Pro" w:hAnsi="Minion Pro"/>
        </w:rPr>
        <w:t>doplnil</w:t>
      </w:r>
      <w:r w:rsidR="006F5411" w:rsidRPr="006F5411">
        <w:rPr>
          <w:rFonts w:ascii="Minion Pro" w:hAnsi="Minion Pro"/>
        </w:rPr>
        <w:t xml:space="preserve"> Geuss.</w:t>
      </w:r>
    </w:p>
    <w:sectPr w:rsidR="000A3F6E" w:rsidSect="00B0256D">
      <w:headerReference w:type="default" r:id="rId8"/>
      <w:headerReference w:type="first" r:id="rId9"/>
      <w:pgSz w:w="11906" w:h="16838"/>
      <w:pgMar w:top="2438" w:right="1134" w:bottom="1134" w:left="1361" w:header="19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F9" w:rsidRDefault="00CA18F9" w:rsidP="0098535E">
      <w:pPr>
        <w:spacing w:line="240" w:lineRule="auto"/>
      </w:pPr>
      <w:r>
        <w:separator/>
      </w:r>
    </w:p>
  </w:endnote>
  <w:endnote w:type="continuationSeparator" w:id="0">
    <w:p w:rsidR="00CA18F9" w:rsidRDefault="00CA18F9" w:rsidP="00985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F9" w:rsidRDefault="00CA18F9" w:rsidP="0098535E">
      <w:pPr>
        <w:spacing w:line="240" w:lineRule="auto"/>
      </w:pPr>
      <w:r>
        <w:separator/>
      </w:r>
    </w:p>
  </w:footnote>
  <w:footnote w:type="continuationSeparator" w:id="0">
    <w:p w:rsidR="00CA18F9" w:rsidRDefault="00CA18F9" w:rsidP="00985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5E" w:rsidRDefault="0098535E" w:rsidP="00B20A0F">
    <w:pPr>
      <w:pStyle w:val="CIZPZhlav"/>
    </w:pPr>
    <w:r>
      <w:drawing>
        <wp:anchor distT="0" distB="0" distL="114300" distR="114300" simplePos="0" relativeHeight="251658240" behindDoc="1" locked="1" layoutInCell="1" allowOverlap="1" wp14:anchorId="127EE74A" wp14:editId="297BB150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56D" w:rsidRDefault="008D74F9" w:rsidP="00B0256D">
    <w:pPr>
      <w:pStyle w:val="CIZPZhlavmezerapodlogem"/>
    </w:pPr>
    <w:r>
      <mc:AlternateContent>
        <mc:Choice Requires="wps">
          <w:drawing>
            <wp:anchor distT="0" distB="0" distL="114300" distR="114300" simplePos="0" relativeHeight="251657215" behindDoc="0" locked="0" layoutInCell="1" allowOverlap="1" wp14:anchorId="094E2315" wp14:editId="15A48804">
              <wp:simplePos x="0" y="0"/>
              <wp:positionH relativeFrom="column">
                <wp:align>right</wp:align>
              </wp:positionH>
              <wp:positionV relativeFrom="page">
                <wp:posOffset>878205</wp:posOffset>
              </wp:positionV>
              <wp:extent cx="3078000" cy="414000"/>
              <wp:effectExtent l="0" t="0" r="8255" b="571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000" cy="41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D74F9" w:rsidRDefault="008D74F9" w:rsidP="008D74F9">
                          <w:pPr>
                            <w:pStyle w:val="NadpisTZ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E231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1.15pt;margin-top:69.15pt;width:242.35pt;height:32.6pt;z-index:25165721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" fillcolor="white [3201]" stroked="f" strokeweight=".5pt">
              <v:textbox inset="0,0,0,0">
                <w:txbxContent>
                  <w:p w:rsidR="008D74F9" w:rsidRDefault="008D74F9" w:rsidP="008D74F9">
                    <w:pPr>
                      <w:pStyle w:val="NadpisTZ"/>
                    </w:pPr>
                    <w:r>
                      <w:t>TISKOVÁ ZPRÁVA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B30950" w:rsidRDefault="00D172F1" w:rsidP="00B30950">
    <w:pPr>
      <w:pStyle w:val="CIZPZhlav"/>
    </w:pPr>
    <w:r>
      <w:drawing>
        <wp:anchor distT="0" distB="0" distL="114300" distR="114300" simplePos="0" relativeHeight="251660288" behindDoc="1" locked="1" layoutInCell="1" allowOverlap="1" wp14:anchorId="6E0E8D39" wp14:editId="3F4CC3D6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Ř</w:t>
    </w:r>
    <w:r w:rsidR="00B30950">
      <w:t>editelství ČIŽP, Na Břehu 267/1a, 190 00 Praha 9</w:t>
    </w:r>
  </w:p>
  <w:p w:rsidR="00B30950" w:rsidRDefault="00B30950" w:rsidP="00B30950">
    <w:pPr>
      <w:pStyle w:val="CIZPZhlav"/>
    </w:pPr>
    <w:r>
      <w:t>tel.: +420 222 860 111, podatelna@cizp.cz</w:t>
    </w:r>
  </w:p>
  <w:p w:rsidR="00B30950" w:rsidRDefault="00B30950" w:rsidP="00B30950">
    <w:pPr>
      <w:pStyle w:val="CIZPZhlav"/>
    </w:pPr>
    <w:r>
      <w:t>Tel.: +420 222 860 341 (348), e-mail: jmeno.prijmeni@cizp.cz</w:t>
    </w:r>
  </w:p>
  <w:p w:rsidR="00B30950" w:rsidRDefault="00B30950" w:rsidP="00B30950">
    <w:pPr>
      <w:pStyle w:val="CIZPZhlav"/>
      <w:rPr>
        <w:rStyle w:val="CIZPZhlavwww"/>
      </w:rPr>
    </w:pPr>
    <w:r w:rsidRPr="004B4EFF">
      <w:rPr>
        <w:rStyle w:val="CIZPZhlavwww"/>
      </w:rPr>
      <w:t>www.cizp.cz</w:t>
    </w:r>
  </w:p>
  <w:p w:rsidR="00D172F1" w:rsidRPr="00D172F1" w:rsidRDefault="00D172F1" w:rsidP="00B30950">
    <w:pPr>
      <w:pStyle w:val="CIZP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76B4D"/>
    <w:multiLevelType w:val="hybridMultilevel"/>
    <w:tmpl w:val="50B82450"/>
    <w:lvl w:ilvl="0" w:tplc="6A641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2A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26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69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EF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89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C7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69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CA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335182"/>
    <w:multiLevelType w:val="hybridMultilevel"/>
    <w:tmpl w:val="6A06E3EA"/>
    <w:lvl w:ilvl="0" w:tplc="05000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6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C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68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A6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89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A1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CA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63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07"/>
    <w:rsid w:val="00012B5F"/>
    <w:rsid w:val="00036102"/>
    <w:rsid w:val="0006011F"/>
    <w:rsid w:val="000843D4"/>
    <w:rsid w:val="000960AC"/>
    <w:rsid w:val="000A3F6E"/>
    <w:rsid w:val="000B0F07"/>
    <w:rsid w:val="000F162A"/>
    <w:rsid w:val="0019356D"/>
    <w:rsid w:val="001A197B"/>
    <w:rsid w:val="001A2F14"/>
    <w:rsid w:val="001D69A1"/>
    <w:rsid w:val="001F5B01"/>
    <w:rsid w:val="00220A1A"/>
    <w:rsid w:val="002247F5"/>
    <w:rsid w:val="00251892"/>
    <w:rsid w:val="00285E29"/>
    <w:rsid w:val="002E5405"/>
    <w:rsid w:val="002E5DB7"/>
    <w:rsid w:val="00325B8B"/>
    <w:rsid w:val="003A5B37"/>
    <w:rsid w:val="003C33D4"/>
    <w:rsid w:val="003D4FC0"/>
    <w:rsid w:val="00403FA9"/>
    <w:rsid w:val="00444136"/>
    <w:rsid w:val="0044592F"/>
    <w:rsid w:val="00453764"/>
    <w:rsid w:val="00484F99"/>
    <w:rsid w:val="004A09B4"/>
    <w:rsid w:val="004A22B7"/>
    <w:rsid w:val="004B4EFF"/>
    <w:rsid w:val="004F45BF"/>
    <w:rsid w:val="005133A9"/>
    <w:rsid w:val="00555F15"/>
    <w:rsid w:val="00582F9B"/>
    <w:rsid w:val="00587FD4"/>
    <w:rsid w:val="00593B80"/>
    <w:rsid w:val="005A4BFD"/>
    <w:rsid w:val="005B4381"/>
    <w:rsid w:val="005B6148"/>
    <w:rsid w:val="005D0B05"/>
    <w:rsid w:val="00621046"/>
    <w:rsid w:val="00695287"/>
    <w:rsid w:val="006E4419"/>
    <w:rsid w:val="006F5411"/>
    <w:rsid w:val="006F5CE0"/>
    <w:rsid w:val="00757418"/>
    <w:rsid w:val="0076017A"/>
    <w:rsid w:val="007971C3"/>
    <w:rsid w:val="0084754E"/>
    <w:rsid w:val="00856483"/>
    <w:rsid w:val="008B7F58"/>
    <w:rsid w:val="008D74F9"/>
    <w:rsid w:val="00904937"/>
    <w:rsid w:val="009276F1"/>
    <w:rsid w:val="00930745"/>
    <w:rsid w:val="009458AB"/>
    <w:rsid w:val="0098535E"/>
    <w:rsid w:val="00992E0D"/>
    <w:rsid w:val="00A0583F"/>
    <w:rsid w:val="00A31D9A"/>
    <w:rsid w:val="00A53163"/>
    <w:rsid w:val="00A63C1D"/>
    <w:rsid w:val="00A80348"/>
    <w:rsid w:val="00A87637"/>
    <w:rsid w:val="00AA3F9D"/>
    <w:rsid w:val="00AD6930"/>
    <w:rsid w:val="00AD7541"/>
    <w:rsid w:val="00B00DE9"/>
    <w:rsid w:val="00B0256D"/>
    <w:rsid w:val="00B20A0F"/>
    <w:rsid w:val="00B30950"/>
    <w:rsid w:val="00B630AF"/>
    <w:rsid w:val="00B72210"/>
    <w:rsid w:val="00BA78BE"/>
    <w:rsid w:val="00BB2519"/>
    <w:rsid w:val="00BE347D"/>
    <w:rsid w:val="00BF307F"/>
    <w:rsid w:val="00C306EB"/>
    <w:rsid w:val="00C604B8"/>
    <w:rsid w:val="00C715FC"/>
    <w:rsid w:val="00C84951"/>
    <w:rsid w:val="00C850C9"/>
    <w:rsid w:val="00C91C74"/>
    <w:rsid w:val="00C960A3"/>
    <w:rsid w:val="00C96D70"/>
    <w:rsid w:val="00CA18F9"/>
    <w:rsid w:val="00CA2C8B"/>
    <w:rsid w:val="00CD27CC"/>
    <w:rsid w:val="00CF6317"/>
    <w:rsid w:val="00D172F1"/>
    <w:rsid w:val="00D74307"/>
    <w:rsid w:val="00D92709"/>
    <w:rsid w:val="00DA6C61"/>
    <w:rsid w:val="00DA6CEF"/>
    <w:rsid w:val="00DB5F33"/>
    <w:rsid w:val="00E72214"/>
    <w:rsid w:val="00E8372B"/>
    <w:rsid w:val="00E960A4"/>
    <w:rsid w:val="00E97192"/>
    <w:rsid w:val="00EA58A4"/>
    <w:rsid w:val="00EC1B60"/>
    <w:rsid w:val="00F5467A"/>
    <w:rsid w:val="00F64998"/>
    <w:rsid w:val="00F7148B"/>
    <w:rsid w:val="00F7656B"/>
    <w:rsid w:val="00F771EF"/>
    <w:rsid w:val="00FB5E2E"/>
    <w:rsid w:val="00FE0CD3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8969A9F-80B6-460F-A533-808C1AFB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d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71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5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5FC"/>
    <w:rPr>
      <w:rFonts w:ascii="Minion Pro" w:hAnsi="Minion Pr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5FC"/>
    <w:rPr>
      <w:rFonts w:ascii="Minion Pro" w:hAnsi="Minion Pro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630A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6FFD-3172-4EA1-8EDE-7B70FE84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Libor Neumann</dc:creator>
  <cp:lastModifiedBy>Jandová Jana</cp:lastModifiedBy>
  <cp:revision>2</cp:revision>
  <cp:lastPrinted>2018-07-11T08:45:00Z</cp:lastPrinted>
  <dcterms:created xsi:type="dcterms:W3CDTF">2018-07-16T10:41:00Z</dcterms:created>
  <dcterms:modified xsi:type="dcterms:W3CDTF">2018-07-16T10:41:00Z</dcterms:modified>
</cp:coreProperties>
</file>