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9C2" w:rsidRDefault="00A939C2" w:rsidP="00A939C2">
      <w:pPr>
        <w:pStyle w:val="Normlnweb"/>
        <w:spacing w:after="0"/>
        <w:jc w:val="center"/>
      </w:pPr>
      <w:r>
        <w:rPr>
          <w:b/>
          <w:bCs/>
          <w:sz w:val="32"/>
          <w:szCs w:val="32"/>
        </w:rPr>
        <w:t xml:space="preserve">Zápis z </w:t>
      </w:r>
      <w:r w:rsidR="00AA7D76">
        <w:rPr>
          <w:b/>
          <w:bCs/>
          <w:sz w:val="32"/>
          <w:szCs w:val="32"/>
        </w:rPr>
        <w:t>33</w:t>
      </w:r>
      <w:r>
        <w:rPr>
          <w:b/>
          <w:bCs/>
          <w:sz w:val="32"/>
          <w:szCs w:val="32"/>
        </w:rPr>
        <w:t xml:space="preserve"> porady skupiny pro mezinárodní spolupráci a 1</w:t>
      </w:r>
      <w:r w:rsidR="00AA7D76">
        <w:rPr>
          <w:b/>
          <w:bCs/>
          <w:sz w:val="32"/>
          <w:szCs w:val="32"/>
        </w:rPr>
        <w:t>7</w:t>
      </w:r>
      <w:r>
        <w:rPr>
          <w:b/>
          <w:bCs/>
          <w:sz w:val="32"/>
          <w:szCs w:val="32"/>
        </w:rPr>
        <w:t xml:space="preserve">. porady národní sítě IMPEL konané na ředitelství ČIŽP </w:t>
      </w:r>
      <w:r w:rsidR="00DB66E4">
        <w:rPr>
          <w:b/>
          <w:bCs/>
          <w:sz w:val="32"/>
          <w:szCs w:val="32"/>
        </w:rPr>
        <w:t xml:space="preserve">                  </w:t>
      </w:r>
      <w:r>
        <w:rPr>
          <w:b/>
          <w:bCs/>
          <w:sz w:val="32"/>
          <w:szCs w:val="32"/>
        </w:rPr>
        <w:t xml:space="preserve">dne </w:t>
      </w:r>
      <w:proofErr w:type="gramStart"/>
      <w:r w:rsidR="00AA7D76">
        <w:rPr>
          <w:b/>
          <w:bCs/>
          <w:sz w:val="32"/>
          <w:szCs w:val="32"/>
        </w:rPr>
        <w:t>25</w:t>
      </w:r>
      <w:r>
        <w:rPr>
          <w:b/>
          <w:bCs/>
          <w:sz w:val="32"/>
          <w:szCs w:val="32"/>
        </w:rPr>
        <w:t>.</w:t>
      </w:r>
      <w:r w:rsidR="00AA7D76">
        <w:rPr>
          <w:b/>
          <w:bCs/>
          <w:sz w:val="32"/>
          <w:szCs w:val="32"/>
        </w:rPr>
        <w:t>6</w:t>
      </w:r>
      <w:r>
        <w:rPr>
          <w:b/>
          <w:bCs/>
          <w:sz w:val="32"/>
          <w:szCs w:val="32"/>
        </w:rPr>
        <w:t>.201</w:t>
      </w:r>
      <w:r w:rsidR="00AA7D76">
        <w:rPr>
          <w:b/>
          <w:bCs/>
          <w:sz w:val="32"/>
          <w:szCs w:val="32"/>
        </w:rPr>
        <w:t>3</w:t>
      </w:r>
      <w:proofErr w:type="gramEnd"/>
    </w:p>
    <w:p w:rsidR="00A939C2" w:rsidRDefault="00A939C2" w:rsidP="00A939C2">
      <w:pPr>
        <w:pStyle w:val="Normlnweb"/>
        <w:spacing w:after="0"/>
        <w:jc w:val="center"/>
      </w:pPr>
    </w:p>
    <w:p w:rsidR="00A939C2" w:rsidRDefault="00A939C2" w:rsidP="00A939C2">
      <w:pPr>
        <w:pStyle w:val="Normlnweb"/>
        <w:spacing w:after="0"/>
      </w:pPr>
      <w:r>
        <w:rPr>
          <w:b/>
          <w:bCs/>
          <w:sz w:val="27"/>
          <w:szCs w:val="27"/>
        </w:rPr>
        <w:t>Přítomni</w:t>
      </w:r>
      <w:r>
        <w:rPr>
          <w:b/>
          <w:bCs/>
        </w:rPr>
        <w:t>:</w:t>
      </w:r>
      <w:r>
        <w:t xml:space="preserve"> dle prezenční listiny</w:t>
      </w:r>
    </w:p>
    <w:p w:rsidR="00A939C2" w:rsidRDefault="00A939C2" w:rsidP="00A939C2">
      <w:pPr>
        <w:pStyle w:val="Normlnweb"/>
        <w:spacing w:after="0"/>
      </w:pPr>
      <w:r>
        <w:t>Lenka Němcová přivítala přítomné účastníky a obeznámila je s programem porady</w:t>
      </w:r>
    </w:p>
    <w:p w:rsidR="00A939C2" w:rsidRDefault="00A939C2" w:rsidP="00E5782D">
      <w:pPr>
        <w:jc w:val="both"/>
        <w:rPr>
          <w:rFonts w:ascii="Times New Roman" w:hAnsi="Times New Roman" w:cs="Times New Roman"/>
          <w:b/>
          <w:sz w:val="28"/>
          <w:szCs w:val="28"/>
        </w:rPr>
      </w:pPr>
    </w:p>
    <w:p w:rsidR="00E5782D" w:rsidRDefault="0069168E" w:rsidP="00E5782D">
      <w:pPr>
        <w:jc w:val="both"/>
        <w:rPr>
          <w:rFonts w:ascii="Times New Roman" w:hAnsi="Times New Roman" w:cs="Times New Roman"/>
          <w:b/>
          <w:sz w:val="28"/>
          <w:szCs w:val="28"/>
        </w:rPr>
      </w:pPr>
      <w:r w:rsidRPr="004119C3">
        <w:rPr>
          <w:rFonts w:ascii="Times New Roman" w:hAnsi="Times New Roman" w:cs="Times New Roman"/>
          <w:b/>
          <w:sz w:val="28"/>
          <w:szCs w:val="28"/>
        </w:rPr>
        <w:t>Informace z jednání Rady EU pro životní prostředí</w:t>
      </w:r>
      <w:r w:rsidR="004119C3">
        <w:rPr>
          <w:rFonts w:ascii="Times New Roman" w:hAnsi="Times New Roman" w:cs="Times New Roman"/>
          <w:b/>
          <w:sz w:val="28"/>
          <w:szCs w:val="28"/>
        </w:rPr>
        <w:t xml:space="preserve"> (</w:t>
      </w:r>
      <w:proofErr w:type="gramStart"/>
      <w:r w:rsidR="004119C3">
        <w:rPr>
          <w:rFonts w:ascii="Times New Roman" w:hAnsi="Times New Roman" w:cs="Times New Roman"/>
          <w:b/>
          <w:sz w:val="28"/>
          <w:szCs w:val="28"/>
        </w:rPr>
        <w:t>18.6.2013</w:t>
      </w:r>
      <w:proofErr w:type="gramEnd"/>
      <w:r w:rsidR="004119C3">
        <w:rPr>
          <w:rFonts w:ascii="Times New Roman" w:hAnsi="Times New Roman" w:cs="Times New Roman"/>
          <w:b/>
          <w:sz w:val="28"/>
          <w:szCs w:val="28"/>
        </w:rPr>
        <w:t xml:space="preserve"> Lucemburk)</w:t>
      </w:r>
      <w:r w:rsidRPr="004119C3">
        <w:rPr>
          <w:rFonts w:ascii="Times New Roman" w:hAnsi="Times New Roman" w:cs="Times New Roman"/>
          <w:b/>
          <w:sz w:val="28"/>
          <w:szCs w:val="28"/>
        </w:rPr>
        <w:t>, Michaela Jeřábková</w:t>
      </w:r>
    </w:p>
    <w:p w:rsidR="00FC56CA" w:rsidRDefault="00FC56CA" w:rsidP="00FC56CA">
      <w:pPr>
        <w:spacing w:after="120"/>
        <w:ind w:left="567" w:hanging="567"/>
        <w:jc w:val="both"/>
        <w:rPr>
          <w:rFonts w:ascii="Times New Roman" w:eastAsia="Times New Roman" w:hAnsi="Times New Roman" w:cs="Times New Roman"/>
          <w:b/>
          <w:sz w:val="24"/>
          <w:szCs w:val="24"/>
          <w:lang w:eastAsia="cs-CZ"/>
        </w:rPr>
      </w:pPr>
      <w:r>
        <w:rPr>
          <w:rFonts w:ascii="Times New Roman" w:hAnsi="Times New Roman" w:cs="Times New Roman"/>
          <w:sz w:val="24"/>
          <w:szCs w:val="24"/>
        </w:rPr>
        <w:t xml:space="preserve"> </w:t>
      </w:r>
      <w:r w:rsidRPr="00FC56CA">
        <w:rPr>
          <w:rFonts w:ascii="Times New Roman" w:eastAsia="Times New Roman" w:hAnsi="Times New Roman" w:cs="Times New Roman"/>
          <w:b/>
          <w:sz w:val="24"/>
          <w:szCs w:val="24"/>
          <w:lang w:eastAsia="cs-CZ"/>
        </w:rPr>
        <w:t>Návrh směrnice Evropského parlamentu a Rady, kterou se mění směrnice 98/70/ES</w:t>
      </w:r>
      <w:r>
        <w:rPr>
          <w:rFonts w:ascii="Times New Roman" w:eastAsia="Times New Roman" w:hAnsi="Times New Roman" w:cs="Times New Roman"/>
          <w:b/>
          <w:sz w:val="24"/>
          <w:szCs w:val="24"/>
          <w:lang w:eastAsia="cs-CZ"/>
        </w:rPr>
        <w:t xml:space="preserve"> </w:t>
      </w:r>
    </w:p>
    <w:p w:rsidR="00FC56CA" w:rsidRPr="00FC56CA" w:rsidRDefault="00FC56CA" w:rsidP="00FC56CA">
      <w:pPr>
        <w:spacing w:after="120"/>
        <w:ind w:left="567" w:hanging="567"/>
        <w:jc w:val="both"/>
        <w:rPr>
          <w:rFonts w:ascii="Times New Roman" w:eastAsia="Arial Unicode MS" w:hAnsi="Times New Roman" w:cs="Times New Roman"/>
          <w:color w:val="000000"/>
          <w:kern w:val="1"/>
          <w:sz w:val="24"/>
          <w:szCs w:val="24"/>
          <w:lang w:eastAsia="hi-IN" w:bidi="hi-IN"/>
        </w:rPr>
      </w:pPr>
      <w:r>
        <w:rPr>
          <w:rFonts w:ascii="Times New Roman" w:eastAsia="Times New Roman" w:hAnsi="Times New Roman" w:cs="Times New Roman"/>
          <w:b/>
          <w:sz w:val="24"/>
          <w:szCs w:val="24"/>
          <w:lang w:eastAsia="cs-CZ"/>
        </w:rPr>
        <w:t>o</w:t>
      </w:r>
      <w:r w:rsidRPr="00FC56CA">
        <w:rPr>
          <w:rFonts w:ascii="Times New Roman" w:eastAsia="Times New Roman" w:hAnsi="Times New Roman" w:cs="Times New Roman"/>
          <w:b/>
          <w:sz w:val="24"/>
          <w:szCs w:val="24"/>
          <w:lang w:eastAsia="cs-CZ"/>
        </w:rPr>
        <w:t> jakosti benzinu a motorové nafty a směrnice 2009/28/ES o podpoře využívání energie z obnovitelných zdrojů</w:t>
      </w:r>
      <w:r w:rsidRPr="00FC56CA">
        <w:rPr>
          <w:rFonts w:ascii="Times New Roman" w:eastAsia="Times New Roman" w:hAnsi="Times New Roman" w:cs="Times New Roman"/>
          <w:sz w:val="24"/>
          <w:szCs w:val="24"/>
          <w:lang w:eastAsia="cs-CZ"/>
        </w:rPr>
        <w:t xml:space="preserve"> </w:t>
      </w:r>
      <w:r w:rsidRPr="00FC56CA">
        <w:rPr>
          <w:rFonts w:ascii="Times New Roman" w:eastAsia="Times New Roman" w:hAnsi="Times New Roman" w:cs="Times New Roman"/>
          <w:bCs/>
          <w:sz w:val="24"/>
          <w:szCs w:val="24"/>
          <w:lang w:eastAsia="cs-CZ"/>
        </w:rPr>
        <w:t>(první čtení)</w:t>
      </w:r>
      <w:r>
        <w:rPr>
          <w:rFonts w:ascii="Times New Roman" w:eastAsia="Times New Roman" w:hAnsi="Times New Roman" w:cs="Times New Roman"/>
          <w:b/>
          <w:i/>
          <w:sz w:val="24"/>
          <w:szCs w:val="24"/>
          <w:lang w:eastAsia="cs-CZ"/>
        </w:rPr>
        <w:t xml:space="preserve"> </w:t>
      </w:r>
    </w:p>
    <w:p w:rsidR="00FC56CA" w:rsidRPr="00032594" w:rsidRDefault="00FC56CA" w:rsidP="00FC56CA">
      <w:pPr>
        <w:spacing w:after="120" w:line="240" w:lineRule="auto"/>
        <w:jc w:val="both"/>
        <w:rPr>
          <w:rFonts w:ascii="Times New Roman" w:eastAsia="Calibri" w:hAnsi="Times New Roman" w:cs="Times New Roman"/>
          <w:sz w:val="24"/>
          <w:szCs w:val="24"/>
          <w:lang w:eastAsia="cs-CZ"/>
        </w:rPr>
      </w:pPr>
      <w:r w:rsidRPr="00FC56CA">
        <w:rPr>
          <w:rFonts w:ascii="Times New Roman" w:eastAsia="Calibri" w:hAnsi="Times New Roman" w:cs="Times New Roman"/>
          <w:sz w:val="24"/>
          <w:szCs w:val="24"/>
          <w:lang w:eastAsia="cs-CZ"/>
        </w:rPr>
        <w:t xml:space="preserve">Dne 17. 10. 2012 představila Evropská komise (Komise) návrh revize směrnic 2009/28/ES, </w:t>
      </w:r>
      <w:r w:rsidRPr="00FC56CA">
        <w:rPr>
          <w:rFonts w:ascii="Times New Roman" w:eastAsia="Calibri" w:hAnsi="Times New Roman" w:cs="Times New Roman"/>
          <w:b/>
          <w:sz w:val="24"/>
          <w:szCs w:val="24"/>
          <w:lang w:eastAsia="cs-CZ"/>
        </w:rPr>
        <w:t>o podpoře využívání energie z obnovitelných zdrojů</w:t>
      </w:r>
      <w:r w:rsidRPr="00FC56CA">
        <w:rPr>
          <w:rFonts w:ascii="Times New Roman" w:eastAsia="Calibri" w:hAnsi="Times New Roman" w:cs="Times New Roman"/>
          <w:sz w:val="24"/>
          <w:szCs w:val="24"/>
          <w:lang w:eastAsia="cs-CZ"/>
        </w:rPr>
        <w:t xml:space="preserve"> a 2009/30/ES, </w:t>
      </w:r>
      <w:r w:rsidRPr="00FC56CA">
        <w:rPr>
          <w:rFonts w:ascii="Times New Roman" w:eastAsia="Calibri" w:hAnsi="Times New Roman" w:cs="Times New Roman"/>
          <w:b/>
          <w:sz w:val="24"/>
          <w:szCs w:val="24"/>
          <w:lang w:eastAsia="cs-CZ"/>
        </w:rPr>
        <w:t>o kvalitě paliv</w:t>
      </w:r>
      <w:r w:rsidRPr="00FC56CA">
        <w:rPr>
          <w:rFonts w:ascii="Times New Roman" w:eastAsia="Calibri" w:hAnsi="Times New Roman" w:cs="Times New Roman"/>
          <w:sz w:val="24"/>
          <w:szCs w:val="24"/>
          <w:lang w:eastAsia="cs-CZ"/>
        </w:rPr>
        <w:t xml:space="preserve">. Předložený návrh zpřísňuje kritéria udržitelnosti biopaliv ve vztahu k úspoře emisí skleníkových plynů zavedená výše uvedenými směrnicemi, řeší problematiku nepřímé změny ve využívání půdy způsobenou pěstováním biomasy pro výrobu biopaliv, omezuje příspěvek biopaliv vyrobených z „potravinářské“ biomasy do povinného 10% podílu obnovitelných zdrojů v dopravě v roce 2020 na 5 % a zavádí podporu pokročilých biopaliv (biopaliva </w:t>
      </w:r>
      <w:smartTag w:uri="urn:schemas-microsoft-com:office:smarttags" w:element="metricconverter">
        <w:smartTagPr>
          <w:attr w:name="ProductID" w:val="2. a"/>
        </w:smartTagPr>
        <w:r w:rsidRPr="00FC56CA">
          <w:rPr>
            <w:rFonts w:ascii="Times New Roman" w:eastAsia="Calibri" w:hAnsi="Times New Roman" w:cs="Times New Roman"/>
            <w:sz w:val="24"/>
            <w:szCs w:val="24"/>
            <w:lang w:eastAsia="cs-CZ"/>
          </w:rPr>
          <w:t>2. a</w:t>
        </w:r>
      </w:smartTag>
      <w:r w:rsidRPr="00FC56CA">
        <w:rPr>
          <w:rFonts w:ascii="Times New Roman" w:eastAsia="Calibri" w:hAnsi="Times New Roman" w:cs="Times New Roman"/>
          <w:sz w:val="24"/>
          <w:szCs w:val="24"/>
          <w:lang w:eastAsia="cs-CZ"/>
        </w:rPr>
        <w:t xml:space="preserve"> 3. generace, která jsou vyráběna z „nepotravinářské“ </w:t>
      </w:r>
      <w:proofErr w:type="gramStart"/>
      <w:r w:rsidRPr="00FC56CA">
        <w:rPr>
          <w:rFonts w:ascii="Times New Roman" w:eastAsia="Calibri" w:hAnsi="Times New Roman" w:cs="Times New Roman"/>
          <w:sz w:val="24"/>
          <w:szCs w:val="24"/>
          <w:lang w:eastAsia="cs-CZ"/>
        </w:rPr>
        <w:t>biomasy).K projednávání</w:t>
      </w:r>
      <w:proofErr w:type="gramEnd"/>
      <w:r w:rsidRPr="00FC56CA">
        <w:rPr>
          <w:rFonts w:ascii="Times New Roman" w:eastAsia="Calibri" w:hAnsi="Times New Roman" w:cs="Times New Roman"/>
          <w:sz w:val="24"/>
          <w:szCs w:val="24"/>
          <w:lang w:eastAsia="cs-CZ"/>
        </w:rPr>
        <w:t xml:space="preserve"> návrhu revize směrnic byla koncem roku 2012 vytvořena pracovní skupina s názvem „Ad-hoc </w:t>
      </w:r>
      <w:proofErr w:type="spellStart"/>
      <w:r w:rsidRPr="00FC56CA">
        <w:rPr>
          <w:rFonts w:ascii="Times New Roman" w:eastAsia="Calibri" w:hAnsi="Times New Roman" w:cs="Times New Roman"/>
          <w:sz w:val="24"/>
          <w:szCs w:val="24"/>
          <w:lang w:eastAsia="cs-CZ"/>
        </w:rPr>
        <w:t>Working</w:t>
      </w:r>
      <w:proofErr w:type="spellEnd"/>
      <w:r w:rsidRPr="00FC56CA">
        <w:rPr>
          <w:rFonts w:ascii="Times New Roman" w:eastAsia="Calibri" w:hAnsi="Times New Roman" w:cs="Times New Roman"/>
          <w:sz w:val="24"/>
          <w:szCs w:val="24"/>
          <w:lang w:eastAsia="cs-CZ"/>
        </w:rPr>
        <w:t xml:space="preserve"> Group on </w:t>
      </w:r>
      <w:proofErr w:type="spellStart"/>
      <w:r w:rsidRPr="00FC56CA">
        <w:rPr>
          <w:rFonts w:ascii="Times New Roman" w:eastAsia="Calibri" w:hAnsi="Times New Roman" w:cs="Times New Roman"/>
          <w:sz w:val="24"/>
          <w:szCs w:val="24"/>
          <w:lang w:eastAsia="cs-CZ"/>
        </w:rPr>
        <w:t>ILUC“.Od</w:t>
      </w:r>
      <w:proofErr w:type="spellEnd"/>
      <w:r w:rsidRPr="00FC56CA">
        <w:rPr>
          <w:rFonts w:ascii="Times New Roman" w:eastAsia="Calibri" w:hAnsi="Times New Roman" w:cs="Times New Roman"/>
          <w:sz w:val="24"/>
          <w:szCs w:val="24"/>
          <w:lang w:eastAsia="cs-CZ"/>
        </w:rPr>
        <w:t xml:space="preserve"> začátku tohoto roku se uskutečnilo 5 jednání pracovní skupiny, na kterých se projednávaly úpravy návrhu předkládané IE PRES. </w:t>
      </w:r>
      <w:r w:rsidRPr="00032594">
        <w:rPr>
          <w:rFonts w:ascii="Times New Roman" w:eastAsia="Calibri" w:hAnsi="Times New Roman" w:cs="Times New Roman"/>
          <w:sz w:val="24"/>
          <w:szCs w:val="24"/>
          <w:lang w:eastAsia="cs-CZ"/>
        </w:rPr>
        <w:t xml:space="preserve">Úpravy se týkaly zejména omezení příspěvku biopaliv vyrobených z potravinářské biomasy (celkem čtyři možné varianty), problematiky vzájemné uznatelnosti národních a dobrovolných systémů prokazujících splnění kritérií udržitelnosti biopaliv a revizní klauzule týkající se povinnosti Komise do konce roku 2015 předložit Evropskému parlamentu a Radě zprávu o dostupnosti pokročilých biopaliv. </w:t>
      </w:r>
    </w:p>
    <w:p w:rsidR="00FC56CA" w:rsidRPr="00FC56CA" w:rsidRDefault="00FC56CA" w:rsidP="00FC56CA">
      <w:pPr>
        <w:spacing w:after="120" w:line="240" w:lineRule="auto"/>
        <w:jc w:val="both"/>
        <w:rPr>
          <w:rFonts w:ascii="Times New Roman" w:eastAsia="Calibri" w:hAnsi="Times New Roman" w:cs="Times New Roman"/>
          <w:sz w:val="24"/>
          <w:szCs w:val="24"/>
          <w:lang w:eastAsia="cs-CZ"/>
        </w:rPr>
      </w:pPr>
      <w:r w:rsidRPr="00FC56CA">
        <w:rPr>
          <w:rFonts w:ascii="Times New Roman" w:eastAsia="Calibri" w:hAnsi="Times New Roman" w:cs="Times New Roman"/>
          <w:sz w:val="24"/>
          <w:szCs w:val="24"/>
          <w:lang w:eastAsia="cs-CZ"/>
        </w:rPr>
        <w:t>Na základě uskutečněných jednání zpracovalo IE PRES zprávu o pokroku, která obsahuje následující:</w:t>
      </w:r>
    </w:p>
    <w:p w:rsidR="00FC56CA" w:rsidRPr="00FC56CA" w:rsidRDefault="00FC56CA" w:rsidP="00FC56CA">
      <w:pPr>
        <w:numPr>
          <w:ilvl w:val="0"/>
          <w:numId w:val="12"/>
        </w:numPr>
        <w:spacing w:after="120" w:line="240" w:lineRule="auto"/>
        <w:jc w:val="both"/>
        <w:rPr>
          <w:rFonts w:ascii="Times New Roman" w:eastAsia="Calibri" w:hAnsi="Times New Roman" w:cs="Times New Roman"/>
          <w:sz w:val="24"/>
          <w:szCs w:val="24"/>
          <w:lang w:eastAsia="cs-CZ"/>
        </w:rPr>
      </w:pPr>
      <w:r w:rsidRPr="00FC56CA">
        <w:rPr>
          <w:rFonts w:ascii="Times New Roman" w:eastAsia="Calibri" w:hAnsi="Times New Roman" w:cs="Times New Roman"/>
          <w:sz w:val="24"/>
          <w:szCs w:val="24"/>
          <w:u w:val="single"/>
          <w:lang w:eastAsia="cs-CZ"/>
        </w:rPr>
        <w:t xml:space="preserve">Omezení biopaliv vyrobených z potravinářské biomasy </w:t>
      </w:r>
    </w:p>
    <w:p w:rsidR="00FC56CA" w:rsidRPr="00FC56CA" w:rsidRDefault="00FC56CA" w:rsidP="00FC56CA">
      <w:pPr>
        <w:numPr>
          <w:ilvl w:val="0"/>
          <w:numId w:val="12"/>
        </w:numPr>
        <w:spacing w:after="120" w:line="240" w:lineRule="auto"/>
        <w:jc w:val="both"/>
        <w:rPr>
          <w:rFonts w:ascii="Times New Roman" w:eastAsia="Calibri" w:hAnsi="Times New Roman" w:cs="Times New Roman"/>
          <w:sz w:val="24"/>
          <w:szCs w:val="24"/>
          <w:u w:val="single"/>
          <w:lang w:eastAsia="cs-CZ"/>
        </w:rPr>
      </w:pPr>
      <w:r w:rsidRPr="00FC56CA">
        <w:rPr>
          <w:rFonts w:ascii="Times New Roman" w:eastAsia="Calibri" w:hAnsi="Times New Roman" w:cs="Times New Roman"/>
          <w:sz w:val="24"/>
          <w:szCs w:val="24"/>
          <w:u w:val="single"/>
          <w:lang w:eastAsia="cs-CZ"/>
        </w:rPr>
        <w:t>ILUC emise (</w:t>
      </w:r>
      <w:r w:rsidRPr="00FC56CA">
        <w:rPr>
          <w:rFonts w:ascii="Times New Roman" w:eastAsia="Times New Roman" w:hAnsi="Times New Roman" w:cs="Times New Roman"/>
          <w:sz w:val="24"/>
          <w:szCs w:val="24"/>
          <w:lang w:eastAsia="cs-CZ"/>
        </w:rPr>
        <w:t>Faktor ILUC stanovuje emise skleníkových plynů, které se uvolňují, když se například k pěstování rostlin pro produkci biopaliv vykácí deštný prales. Pro odborníky je však způsob měření emisí sporný, a tím i vypovídací schopnost faktoru)</w:t>
      </w:r>
    </w:p>
    <w:p w:rsidR="00FC56CA" w:rsidRDefault="00FC56CA" w:rsidP="00FC56CA">
      <w:pPr>
        <w:pStyle w:val="PointManual"/>
        <w:spacing w:before="0" w:after="120"/>
        <w:rPr>
          <w:b/>
        </w:rPr>
      </w:pPr>
      <w:r>
        <w:rPr>
          <w:rFonts w:eastAsia="Calibri"/>
          <w:lang w:eastAsia="cs-CZ"/>
        </w:rPr>
        <w:t xml:space="preserve"> </w:t>
      </w:r>
      <w:r w:rsidRPr="00FC56CA">
        <w:tab/>
      </w:r>
      <w:r>
        <w:rPr>
          <w:b/>
        </w:rPr>
        <w:t xml:space="preserve"> </w:t>
      </w:r>
    </w:p>
    <w:p w:rsidR="00FC56CA" w:rsidRPr="00FC56CA" w:rsidRDefault="00FC56CA" w:rsidP="00FC56CA">
      <w:pPr>
        <w:pStyle w:val="PointManual"/>
        <w:spacing w:before="0" w:after="120"/>
        <w:rPr>
          <w:b/>
        </w:rPr>
      </w:pPr>
      <w:r>
        <w:rPr>
          <w:b/>
        </w:rPr>
        <w:t>Opatření navazující na konferenci Organizace spojených národů na téma udržitelného rozvoje („Rio+20“):</w:t>
      </w:r>
    </w:p>
    <w:p w:rsidR="00FC56CA" w:rsidRPr="00FC56CA" w:rsidRDefault="00FC56CA" w:rsidP="00FC56CA">
      <w:pPr>
        <w:spacing w:after="120" w:line="240" w:lineRule="auto"/>
        <w:ind w:left="1134" w:hanging="567"/>
        <w:outlineLvl w:val="0"/>
        <w:rPr>
          <w:rFonts w:ascii="Times New Roman" w:eastAsia="Times New Roman" w:hAnsi="Times New Roman" w:cs="Times New Roman"/>
          <w:sz w:val="24"/>
          <w:szCs w:val="24"/>
        </w:rPr>
      </w:pPr>
      <w:r w:rsidRPr="00FC56CA">
        <w:rPr>
          <w:rFonts w:ascii="Times New Roman" w:eastAsia="Times New Roman" w:hAnsi="Times New Roman" w:cs="Times New Roman"/>
          <w:sz w:val="24"/>
          <w:szCs w:val="24"/>
        </w:rPr>
        <w:t>a)</w:t>
      </w:r>
      <w:r w:rsidRPr="00FC56CA">
        <w:rPr>
          <w:rFonts w:ascii="Times New Roman" w:eastAsia="Times New Roman" w:hAnsi="Times New Roman" w:cs="Times New Roman"/>
          <w:sz w:val="24"/>
          <w:szCs w:val="24"/>
        </w:rPr>
        <w:tab/>
        <w:t>Obecná agenda pro období po roce 2015</w:t>
      </w:r>
    </w:p>
    <w:p w:rsidR="00FC56CA" w:rsidRPr="00FC56CA" w:rsidRDefault="00FC56CA" w:rsidP="00FC56CA">
      <w:pPr>
        <w:tabs>
          <w:tab w:val="num" w:pos="1701"/>
        </w:tabs>
        <w:spacing w:after="120" w:line="240" w:lineRule="auto"/>
        <w:ind w:left="1701" w:hanging="567"/>
        <w:outlineLvl w:val="1"/>
        <w:rPr>
          <w:rFonts w:ascii="Times New Roman" w:eastAsia="Times New Roman" w:hAnsi="Times New Roman" w:cs="Times New Roman"/>
          <w:sz w:val="24"/>
          <w:szCs w:val="24"/>
        </w:rPr>
      </w:pPr>
      <w:r w:rsidRPr="00FC56CA">
        <w:rPr>
          <w:rFonts w:ascii="Times New Roman" w:eastAsia="Times New Roman" w:hAnsi="Times New Roman" w:cs="Times New Roman"/>
          <w:sz w:val="24"/>
          <w:szCs w:val="24"/>
        </w:rPr>
        <w:t>potvrzení závěrů Rady</w:t>
      </w:r>
    </w:p>
    <w:p w:rsidR="00FC56CA" w:rsidRPr="00FC56CA" w:rsidRDefault="00FC56CA" w:rsidP="00FC56CA">
      <w:pPr>
        <w:spacing w:after="120" w:line="240" w:lineRule="auto"/>
        <w:jc w:val="both"/>
        <w:rPr>
          <w:rFonts w:ascii="Times New Roman" w:eastAsia="Times New Roman" w:hAnsi="Times New Roman" w:cs="Times New Roman"/>
          <w:b/>
          <w:snapToGrid w:val="0"/>
          <w:sz w:val="24"/>
          <w:szCs w:val="24"/>
          <w:u w:val="single"/>
          <w:lang w:eastAsia="cs-CZ"/>
        </w:rPr>
      </w:pPr>
      <w:r w:rsidRPr="00FC56CA">
        <w:rPr>
          <w:rFonts w:ascii="Times New Roman" w:eastAsia="Times New Roman" w:hAnsi="Times New Roman" w:cs="Times New Roman"/>
          <w:b/>
          <w:i/>
          <w:sz w:val="24"/>
          <w:szCs w:val="24"/>
          <w:lang w:eastAsia="cs-CZ"/>
        </w:rPr>
        <w:lastRenderedPageBreak/>
        <w:t>Rada podpořila závěry Rady k obecné agendě pro období po roce 2015 v rámci procesu Rio + 20.</w:t>
      </w:r>
    </w:p>
    <w:p w:rsidR="00FC56CA" w:rsidRPr="00FC56CA" w:rsidRDefault="00FC56CA" w:rsidP="00FC56CA">
      <w:pPr>
        <w:spacing w:after="120" w:line="240" w:lineRule="auto"/>
        <w:jc w:val="both"/>
        <w:rPr>
          <w:rFonts w:ascii="Times New Roman" w:eastAsia="Times New Roman" w:hAnsi="Times New Roman" w:cs="Times New Roman"/>
          <w:snapToGrid w:val="0"/>
          <w:sz w:val="24"/>
          <w:szCs w:val="24"/>
          <w:lang w:eastAsia="cs-CZ"/>
        </w:rPr>
      </w:pPr>
      <w:r w:rsidRPr="00FC56CA">
        <w:rPr>
          <w:rFonts w:ascii="Times New Roman" w:eastAsia="Times New Roman" w:hAnsi="Times New Roman" w:cs="Times New Roman"/>
          <w:b/>
          <w:snapToGrid w:val="0"/>
          <w:sz w:val="24"/>
          <w:szCs w:val="24"/>
          <w:u w:val="single"/>
          <w:lang w:eastAsia="cs-CZ"/>
        </w:rPr>
        <w:t>Stručný popis problematiky:</w:t>
      </w:r>
      <w:r w:rsidRPr="00FC56CA">
        <w:rPr>
          <w:rFonts w:ascii="Times New Roman" w:eastAsia="Times New Roman" w:hAnsi="Times New Roman" w:cs="Times New Roman"/>
          <w:snapToGrid w:val="0"/>
          <w:sz w:val="24"/>
          <w:szCs w:val="24"/>
          <w:lang w:eastAsia="cs-CZ"/>
        </w:rPr>
        <w:t xml:space="preserve"> </w:t>
      </w:r>
    </w:p>
    <w:p w:rsidR="004119C3" w:rsidRDefault="00FC56CA" w:rsidP="00032594">
      <w:pPr>
        <w:widowControl w:val="0"/>
        <w:spacing w:after="120" w:line="240" w:lineRule="auto"/>
        <w:jc w:val="both"/>
        <w:rPr>
          <w:rFonts w:ascii="Times New Roman" w:hAnsi="Times New Roman" w:cs="Times New Roman"/>
          <w:sz w:val="24"/>
          <w:szCs w:val="24"/>
        </w:rPr>
      </w:pPr>
      <w:r w:rsidRPr="00FC56CA">
        <w:rPr>
          <w:rFonts w:ascii="Times New Roman" w:eastAsia="Times New Roman" w:hAnsi="Times New Roman" w:cs="Times New Roman"/>
          <w:bCs/>
          <w:sz w:val="24"/>
          <w:szCs w:val="24"/>
          <w:lang w:eastAsia="cs-CZ"/>
        </w:rPr>
        <w:t>V roce 2015 končí platnost tzv. rozvojových cílů tisíciletí (</w:t>
      </w:r>
      <w:proofErr w:type="spellStart"/>
      <w:r w:rsidRPr="00FC56CA">
        <w:rPr>
          <w:rFonts w:ascii="Times New Roman" w:eastAsia="Times New Roman" w:hAnsi="Times New Roman" w:cs="Times New Roman"/>
          <w:bCs/>
          <w:sz w:val="24"/>
          <w:szCs w:val="24"/>
          <w:lang w:eastAsia="cs-CZ"/>
        </w:rPr>
        <w:t>Millennium</w:t>
      </w:r>
      <w:proofErr w:type="spellEnd"/>
      <w:r w:rsidRPr="00FC56CA">
        <w:rPr>
          <w:rFonts w:ascii="Times New Roman" w:eastAsia="Times New Roman" w:hAnsi="Times New Roman" w:cs="Times New Roman"/>
          <w:bCs/>
          <w:sz w:val="24"/>
          <w:szCs w:val="24"/>
          <w:lang w:eastAsia="cs-CZ"/>
        </w:rPr>
        <w:t xml:space="preserve"> </w:t>
      </w:r>
      <w:proofErr w:type="spellStart"/>
      <w:r w:rsidRPr="00FC56CA">
        <w:rPr>
          <w:rFonts w:ascii="Times New Roman" w:eastAsia="Times New Roman" w:hAnsi="Times New Roman" w:cs="Times New Roman"/>
          <w:bCs/>
          <w:sz w:val="24"/>
          <w:szCs w:val="24"/>
          <w:lang w:eastAsia="cs-CZ"/>
        </w:rPr>
        <w:t>Development</w:t>
      </w:r>
      <w:proofErr w:type="spellEnd"/>
      <w:r w:rsidRPr="00FC56CA">
        <w:rPr>
          <w:rFonts w:ascii="Times New Roman" w:eastAsia="Times New Roman" w:hAnsi="Times New Roman" w:cs="Times New Roman"/>
          <w:bCs/>
          <w:sz w:val="24"/>
          <w:szCs w:val="24"/>
          <w:lang w:eastAsia="cs-CZ"/>
        </w:rPr>
        <w:t xml:space="preserve"> </w:t>
      </w:r>
      <w:proofErr w:type="spellStart"/>
      <w:r w:rsidRPr="00FC56CA">
        <w:rPr>
          <w:rFonts w:ascii="Times New Roman" w:eastAsia="Times New Roman" w:hAnsi="Times New Roman" w:cs="Times New Roman"/>
          <w:bCs/>
          <w:sz w:val="24"/>
          <w:szCs w:val="24"/>
          <w:lang w:eastAsia="cs-CZ"/>
        </w:rPr>
        <w:t>Goals</w:t>
      </w:r>
      <w:proofErr w:type="spellEnd"/>
      <w:r w:rsidRPr="00FC56CA">
        <w:rPr>
          <w:rFonts w:ascii="Times New Roman" w:eastAsia="Times New Roman" w:hAnsi="Times New Roman" w:cs="Times New Roman"/>
          <w:bCs/>
          <w:sz w:val="24"/>
          <w:szCs w:val="24"/>
          <w:lang w:eastAsia="cs-CZ"/>
        </w:rPr>
        <w:t xml:space="preserve"> – </w:t>
      </w:r>
      <w:proofErr w:type="spellStart"/>
      <w:r w:rsidRPr="00FC56CA">
        <w:rPr>
          <w:rFonts w:ascii="Times New Roman" w:eastAsia="Times New Roman" w:hAnsi="Times New Roman" w:cs="Times New Roman"/>
          <w:bCs/>
          <w:sz w:val="24"/>
          <w:szCs w:val="24"/>
          <w:lang w:eastAsia="cs-CZ"/>
        </w:rPr>
        <w:t>MDGs</w:t>
      </w:r>
      <w:proofErr w:type="spellEnd"/>
      <w:r w:rsidRPr="00FC56CA">
        <w:rPr>
          <w:rFonts w:ascii="Times New Roman" w:eastAsia="Times New Roman" w:hAnsi="Times New Roman" w:cs="Times New Roman"/>
          <w:bCs/>
          <w:sz w:val="24"/>
          <w:szCs w:val="24"/>
          <w:lang w:eastAsia="cs-CZ"/>
        </w:rPr>
        <w:t xml:space="preserve">) formulovaných na Miléniovém summitu OSN v září roku 2000. Cíle </w:t>
      </w:r>
      <w:proofErr w:type="spellStart"/>
      <w:r w:rsidRPr="00FC56CA">
        <w:rPr>
          <w:rFonts w:ascii="Times New Roman" w:eastAsia="Times New Roman" w:hAnsi="Times New Roman" w:cs="Times New Roman"/>
          <w:bCs/>
          <w:sz w:val="24"/>
          <w:szCs w:val="24"/>
          <w:lang w:eastAsia="cs-CZ"/>
        </w:rPr>
        <w:t>MDGs</w:t>
      </w:r>
      <w:proofErr w:type="spellEnd"/>
      <w:r w:rsidRPr="00FC56CA">
        <w:rPr>
          <w:rFonts w:ascii="Times New Roman" w:eastAsia="Times New Roman" w:hAnsi="Times New Roman" w:cs="Times New Roman"/>
          <w:bCs/>
          <w:sz w:val="24"/>
          <w:szCs w:val="24"/>
          <w:lang w:eastAsia="cs-CZ"/>
        </w:rPr>
        <w:t xml:space="preserve"> se staly mocným nástrojem k mobilizaci světa v boji proti chudobě. Ten patří spolu s bojem proti dalším celosvětovým problémům, jako jsou změna klimatu, nedostatek zdrojů, zhoršování životního prostředí a sociální nerovnosti, stále mezi hlavní priority. Ačkoli bylo při plnění </w:t>
      </w:r>
      <w:proofErr w:type="spellStart"/>
      <w:r w:rsidRPr="00FC56CA">
        <w:rPr>
          <w:rFonts w:ascii="Times New Roman" w:eastAsia="Times New Roman" w:hAnsi="Times New Roman" w:cs="Times New Roman"/>
          <w:bCs/>
          <w:sz w:val="24"/>
          <w:szCs w:val="24"/>
          <w:lang w:eastAsia="cs-CZ"/>
        </w:rPr>
        <w:t>MDGs</w:t>
      </w:r>
      <w:proofErr w:type="spellEnd"/>
      <w:r w:rsidRPr="00FC56CA">
        <w:rPr>
          <w:rFonts w:ascii="Times New Roman" w:eastAsia="Times New Roman" w:hAnsi="Times New Roman" w:cs="Times New Roman"/>
          <w:bCs/>
          <w:sz w:val="24"/>
          <w:szCs w:val="24"/>
          <w:lang w:eastAsia="cs-CZ"/>
        </w:rPr>
        <w:t xml:space="preserve"> dosaženo určitého pokroku, problémy přetrvávají. </w:t>
      </w:r>
      <w:r w:rsidRPr="00FC56CA">
        <w:rPr>
          <w:rFonts w:ascii="Times New Roman" w:eastAsia="Times New Roman" w:hAnsi="Times New Roman" w:cs="Times New Roman"/>
          <w:sz w:val="24"/>
          <w:szCs w:val="24"/>
          <w:lang w:eastAsia="cs-CZ"/>
        </w:rPr>
        <w:t xml:space="preserve">Urychlení realizace udržitelného rozvoje se věnovala také konference Rio+20 (20. - 22. červen 2012), která byla zaměřena na dvě hlavní témata: i) zelenou ekonomiku v kontextu udržitelného rozvoje a vymýcení chudoby a </w:t>
      </w:r>
      <w:proofErr w:type="spellStart"/>
      <w:r w:rsidRPr="00FC56CA">
        <w:rPr>
          <w:rFonts w:ascii="Times New Roman" w:eastAsia="Times New Roman" w:hAnsi="Times New Roman" w:cs="Times New Roman"/>
          <w:sz w:val="24"/>
          <w:szCs w:val="24"/>
          <w:lang w:eastAsia="cs-CZ"/>
        </w:rPr>
        <w:t>ii</w:t>
      </w:r>
      <w:proofErr w:type="spellEnd"/>
      <w:r w:rsidRPr="00FC56CA">
        <w:rPr>
          <w:rFonts w:ascii="Times New Roman" w:eastAsia="Times New Roman" w:hAnsi="Times New Roman" w:cs="Times New Roman"/>
          <w:sz w:val="24"/>
          <w:szCs w:val="24"/>
          <w:lang w:eastAsia="cs-CZ"/>
        </w:rPr>
        <w:t>) institucionální rámec udržitelného rozvoje. Na konferenci Rio+20 byl zahájen proces formulace cílů v oblasti udržitelného rozvoje (tzv. </w:t>
      </w:r>
      <w:proofErr w:type="spellStart"/>
      <w:r w:rsidRPr="00FC56CA">
        <w:rPr>
          <w:rFonts w:ascii="Times New Roman" w:eastAsia="Times New Roman" w:hAnsi="Times New Roman" w:cs="Times New Roman"/>
          <w:sz w:val="24"/>
          <w:szCs w:val="24"/>
          <w:lang w:eastAsia="cs-CZ"/>
        </w:rPr>
        <w:t>Sustainable</w:t>
      </w:r>
      <w:proofErr w:type="spellEnd"/>
      <w:r w:rsidRPr="00FC56CA">
        <w:rPr>
          <w:rFonts w:ascii="Times New Roman" w:eastAsia="Times New Roman" w:hAnsi="Times New Roman" w:cs="Times New Roman"/>
          <w:sz w:val="24"/>
          <w:szCs w:val="24"/>
          <w:lang w:eastAsia="cs-CZ"/>
        </w:rPr>
        <w:t xml:space="preserve"> </w:t>
      </w:r>
      <w:proofErr w:type="spellStart"/>
      <w:r w:rsidRPr="00FC56CA">
        <w:rPr>
          <w:rFonts w:ascii="Times New Roman" w:eastAsia="Times New Roman" w:hAnsi="Times New Roman" w:cs="Times New Roman"/>
          <w:sz w:val="24"/>
          <w:szCs w:val="24"/>
          <w:lang w:eastAsia="cs-CZ"/>
        </w:rPr>
        <w:t>Development</w:t>
      </w:r>
      <w:proofErr w:type="spellEnd"/>
      <w:r w:rsidRPr="00FC56CA">
        <w:rPr>
          <w:rFonts w:ascii="Times New Roman" w:eastAsia="Times New Roman" w:hAnsi="Times New Roman" w:cs="Times New Roman"/>
          <w:sz w:val="24"/>
          <w:szCs w:val="24"/>
          <w:lang w:eastAsia="cs-CZ"/>
        </w:rPr>
        <w:t xml:space="preserve"> </w:t>
      </w:r>
      <w:proofErr w:type="spellStart"/>
      <w:r w:rsidRPr="00FC56CA">
        <w:rPr>
          <w:rFonts w:ascii="Times New Roman" w:eastAsia="Times New Roman" w:hAnsi="Times New Roman" w:cs="Times New Roman"/>
          <w:sz w:val="24"/>
          <w:szCs w:val="24"/>
          <w:lang w:eastAsia="cs-CZ"/>
        </w:rPr>
        <w:t>Goals</w:t>
      </w:r>
      <w:proofErr w:type="spellEnd"/>
      <w:r w:rsidRPr="00FC56CA">
        <w:rPr>
          <w:rFonts w:ascii="Times New Roman" w:eastAsia="Times New Roman" w:hAnsi="Times New Roman" w:cs="Times New Roman"/>
          <w:sz w:val="24"/>
          <w:szCs w:val="24"/>
          <w:lang w:eastAsia="cs-CZ"/>
        </w:rPr>
        <w:t xml:space="preserve"> – </w:t>
      </w:r>
      <w:proofErr w:type="spellStart"/>
      <w:r w:rsidRPr="00FC56CA">
        <w:rPr>
          <w:rFonts w:ascii="Times New Roman" w:eastAsia="Times New Roman" w:hAnsi="Times New Roman" w:cs="Times New Roman"/>
          <w:sz w:val="24"/>
          <w:szCs w:val="24"/>
          <w:lang w:eastAsia="cs-CZ"/>
        </w:rPr>
        <w:t>SDGs</w:t>
      </w:r>
      <w:proofErr w:type="spellEnd"/>
      <w:r w:rsidRPr="00FC56CA">
        <w:rPr>
          <w:rFonts w:ascii="Times New Roman" w:eastAsia="Times New Roman" w:hAnsi="Times New Roman" w:cs="Times New Roman"/>
          <w:sz w:val="24"/>
          <w:szCs w:val="24"/>
          <w:lang w:eastAsia="cs-CZ"/>
        </w:rPr>
        <w:t xml:space="preserve">). Návrh cílů udržitelného rozvoje má Valné shromáždění OSN projednat na podzim </w:t>
      </w:r>
      <w:smartTag w:uri="urn:schemas-microsoft-com:office:smarttags" w:element="metricconverter">
        <w:smartTagPr>
          <w:attr w:name="ProductID" w:val="2014, a"/>
        </w:smartTagPr>
        <w:r w:rsidRPr="00FC56CA">
          <w:rPr>
            <w:rFonts w:ascii="Times New Roman" w:eastAsia="Times New Roman" w:hAnsi="Times New Roman" w:cs="Times New Roman"/>
            <w:sz w:val="24"/>
            <w:szCs w:val="24"/>
            <w:lang w:eastAsia="cs-CZ"/>
          </w:rPr>
          <w:t>2014, a</w:t>
        </w:r>
      </w:smartTag>
      <w:r w:rsidRPr="00FC56CA">
        <w:rPr>
          <w:rFonts w:ascii="Times New Roman" w:eastAsia="Times New Roman" w:hAnsi="Times New Roman" w:cs="Times New Roman"/>
          <w:sz w:val="24"/>
          <w:szCs w:val="24"/>
          <w:lang w:eastAsia="cs-CZ"/>
        </w:rPr>
        <w:t xml:space="preserve"> to na základě výsledků </w:t>
      </w:r>
      <w:r>
        <w:rPr>
          <w:rFonts w:ascii="Times New Roman" w:eastAsia="Times New Roman" w:hAnsi="Times New Roman" w:cs="Times New Roman"/>
          <w:sz w:val="24"/>
          <w:szCs w:val="24"/>
          <w:lang w:eastAsia="cs-CZ"/>
        </w:rPr>
        <w:t xml:space="preserve">práce otevřené pracovní skupiny. </w:t>
      </w:r>
      <w:r w:rsidRPr="00FC56CA">
        <w:rPr>
          <w:rFonts w:ascii="Times New Roman" w:eastAsia="Times New Roman" w:hAnsi="Times New Roman" w:cs="Times New Roman"/>
          <w:sz w:val="24"/>
          <w:szCs w:val="24"/>
          <w:lang w:eastAsia="cs-CZ"/>
        </w:rPr>
        <w:t>Dne 4. března 2013 publikovala EK své Sdělení „Důstojný život pro všechny: Skoncovat s chudobou a umožnit světu udržitelnou budoucnost“, které vychází z rozsáhlých konzultací s členskými státy a širokou veřejností.</w:t>
      </w:r>
      <w:r>
        <w:rPr>
          <w:rFonts w:ascii="Times New Roman" w:eastAsia="Arial Unicode MS" w:hAnsi="Times New Roman" w:cs="Times New Roman"/>
          <w:b/>
          <w:color w:val="000000"/>
          <w:kern w:val="1"/>
          <w:sz w:val="24"/>
          <w:szCs w:val="24"/>
          <w:u w:val="single"/>
          <w:lang w:eastAsia="cs-CZ"/>
        </w:rPr>
        <w:t xml:space="preserve"> </w:t>
      </w:r>
    </w:p>
    <w:p w:rsidR="00F461F2" w:rsidRPr="00F461F2" w:rsidRDefault="00F461F2" w:rsidP="00F461F2">
      <w:pPr>
        <w:spacing w:after="120" w:line="240" w:lineRule="auto"/>
        <w:ind w:left="567" w:hanging="567"/>
        <w:rPr>
          <w:rFonts w:ascii="Times New Roman" w:eastAsia="Times New Roman" w:hAnsi="Times New Roman" w:cs="Times New Roman"/>
          <w:b/>
          <w:sz w:val="24"/>
          <w:szCs w:val="24"/>
        </w:rPr>
      </w:pPr>
      <w:r w:rsidRPr="00F461F2">
        <w:rPr>
          <w:rFonts w:ascii="Times New Roman" w:eastAsia="Times New Roman" w:hAnsi="Times New Roman" w:cs="Times New Roman"/>
          <w:b/>
          <w:sz w:val="24"/>
          <w:szCs w:val="24"/>
        </w:rPr>
        <w:t>Sdělení Komise o strategii EU pro přizpůsobení se změně klimatu</w:t>
      </w:r>
    </w:p>
    <w:p w:rsidR="00F461F2" w:rsidRPr="00F461F2" w:rsidRDefault="00F461F2" w:rsidP="00F461F2">
      <w:pPr>
        <w:spacing w:after="120" w:line="24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Pr="00F461F2">
        <w:rPr>
          <w:rFonts w:ascii="Times New Roman" w:eastAsia="Times New Roman" w:hAnsi="Times New Roman" w:cs="Times New Roman"/>
          <w:sz w:val="24"/>
          <w:szCs w:val="24"/>
        </w:rPr>
        <w:t xml:space="preserve">adě EU pro životní prostředí byl předložen návrh závěrů k Adaptační strategii EU. </w:t>
      </w:r>
    </w:p>
    <w:p w:rsidR="00F461F2" w:rsidRPr="00F461F2" w:rsidRDefault="00F461F2" w:rsidP="00F461F2">
      <w:pPr>
        <w:spacing w:after="120" w:line="240" w:lineRule="auto"/>
        <w:rPr>
          <w:rFonts w:ascii="Times New Roman" w:eastAsia="Times New Roman" w:hAnsi="Times New Roman" w:cs="Times New Roman"/>
          <w:snapToGrid w:val="0"/>
          <w:sz w:val="24"/>
          <w:szCs w:val="24"/>
          <w:lang w:eastAsia="cs-CZ"/>
        </w:rPr>
      </w:pPr>
      <w:r w:rsidRPr="00F461F2">
        <w:rPr>
          <w:rFonts w:ascii="Times New Roman" w:eastAsia="Times New Roman" w:hAnsi="Times New Roman" w:cs="Times New Roman"/>
          <w:b/>
          <w:i/>
          <w:sz w:val="24"/>
          <w:szCs w:val="24"/>
        </w:rPr>
        <w:t>Rada schválila závěry ke sdělení Komise o strategii EU pro přizpůsobení se změně klimatu s doplněním v odstavci 6 na návrh PT.</w:t>
      </w:r>
    </w:p>
    <w:p w:rsidR="00F461F2" w:rsidRPr="00F461F2" w:rsidRDefault="00F461F2" w:rsidP="00F461F2">
      <w:pPr>
        <w:spacing w:after="120" w:line="240" w:lineRule="auto"/>
        <w:jc w:val="both"/>
        <w:rPr>
          <w:rFonts w:ascii="Times New Roman" w:eastAsia="Times New Roman" w:hAnsi="Times New Roman" w:cs="Times New Roman"/>
          <w:snapToGrid w:val="0"/>
          <w:sz w:val="24"/>
          <w:szCs w:val="24"/>
          <w:lang w:eastAsia="cs-CZ"/>
        </w:rPr>
      </w:pPr>
      <w:r w:rsidRPr="00F461F2">
        <w:rPr>
          <w:rFonts w:ascii="Times New Roman" w:eastAsia="Times New Roman" w:hAnsi="Times New Roman" w:cs="Times New Roman"/>
          <w:b/>
          <w:snapToGrid w:val="0"/>
          <w:sz w:val="24"/>
          <w:szCs w:val="24"/>
          <w:u w:val="single"/>
          <w:lang w:eastAsia="cs-CZ"/>
        </w:rPr>
        <w:t>Stručný popis problematiky:</w:t>
      </w:r>
      <w:r w:rsidRPr="00F461F2">
        <w:rPr>
          <w:rFonts w:ascii="Times New Roman" w:eastAsia="Times New Roman" w:hAnsi="Times New Roman" w:cs="Times New Roman"/>
          <w:snapToGrid w:val="0"/>
          <w:sz w:val="24"/>
          <w:szCs w:val="24"/>
          <w:lang w:eastAsia="cs-CZ"/>
        </w:rPr>
        <w:t xml:space="preserve"> </w:t>
      </w:r>
    </w:p>
    <w:p w:rsidR="00F461F2" w:rsidRPr="00F461F2" w:rsidRDefault="00F461F2" w:rsidP="00F461F2">
      <w:pPr>
        <w:spacing w:after="120" w:line="240" w:lineRule="auto"/>
        <w:jc w:val="both"/>
        <w:rPr>
          <w:rFonts w:ascii="Times New Roman" w:eastAsia="Times New Roman" w:hAnsi="Times New Roman" w:cs="Times New Roman"/>
          <w:sz w:val="24"/>
          <w:szCs w:val="24"/>
          <w:lang w:eastAsia="cs-CZ"/>
        </w:rPr>
      </w:pPr>
      <w:r w:rsidRPr="00F461F2">
        <w:rPr>
          <w:rFonts w:ascii="Times New Roman" w:eastAsia="Times New Roman" w:hAnsi="Times New Roman" w:cs="Times New Roman"/>
          <w:sz w:val="24"/>
          <w:szCs w:val="24"/>
          <w:lang w:eastAsia="cs-CZ"/>
        </w:rPr>
        <w:t xml:space="preserve">Dne 16. dubna 2013 Evropská Komise zveřejnila Sdělení – Adaptační strategie EU; společně s rozsáhlou dopadovou studií a několika průvodními dokumenty. Materiál vychází z tzv. Bílé knihy s názvem Přizpůsobení se změně klimatu: směřování k evropskému akčnímu rámci z roku 2009. Hlavní cíle Bílé knihy schválili ministři v rámci závěrů Rady EU pro životní prostředí (Směrem ke komplexní strategii EU v oblasti přizpůsobení se </w:t>
      </w:r>
      <w:proofErr w:type="gramStart"/>
      <w:r w:rsidRPr="00F461F2">
        <w:rPr>
          <w:rFonts w:ascii="Times New Roman" w:eastAsia="Times New Roman" w:hAnsi="Times New Roman" w:cs="Times New Roman"/>
          <w:sz w:val="24"/>
          <w:szCs w:val="24"/>
          <w:lang w:eastAsia="cs-CZ"/>
        </w:rPr>
        <w:t>změně</w:t>
      </w:r>
      <w:proofErr w:type="gramEnd"/>
      <w:r w:rsidRPr="00F461F2">
        <w:rPr>
          <w:rFonts w:ascii="Times New Roman" w:eastAsia="Times New Roman" w:hAnsi="Times New Roman" w:cs="Times New Roman"/>
          <w:sz w:val="24"/>
          <w:szCs w:val="24"/>
          <w:lang w:eastAsia="cs-CZ"/>
        </w:rPr>
        <w:t xml:space="preserve"> klimatu) v červnu 2009 (během CZ PRES). Tento dokument představuje dlouhodobou strategii (do roku 2020) pro zvýšení odolnosti EU vůči negativním dopadům změny klimatu na všech úrovních a v souladu s </w:t>
      </w:r>
      <w:proofErr w:type="spellStart"/>
      <w:r w:rsidRPr="00F461F2">
        <w:rPr>
          <w:rFonts w:ascii="Times New Roman" w:eastAsia="Times New Roman" w:hAnsi="Times New Roman" w:cs="Times New Roman"/>
          <w:sz w:val="24"/>
          <w:szCs w:val="24"/>
          <w:lang w:eastAsia="cs-CZ"/>
        </w:rPr>
        <w:t>cíly</w:t>
      </w:r>
      <w:proofErr w:type="spellEnd"/>
      <w:r w:rsidRPr="00F461F2">
        <w:rPr>
          <w:rFonts w:ascii="Times New Roman" w:eastAsia="Times New Roman" w:hAnsi="Times New Roman" w:cs="Times New Roman"/>
          <w:sz w:val="24"/>
          <w:szCs w:val="24"/>
          <w:lang w:eastAsia="cs-CZ"/>
        </w:rPr>
        <w:t xml:space="preserve"> Evropa 2020. EK si v sdělení vytyčila 8 akčních bodů, které by měly podpořit 3 hlavní cíle: </w:t>
      </w:r>
      <w:r w:rsidRPr="00F461F2">
        <w:rPr>
          <w:rFonts w:ascii="Times New Roman" w:eastAsia="Times New Roman" w:hAnsi="Times New Roman" w:cs="Times New Roman"/>
          <w:sz w:val="24"/>
          <w:szCs w:val="24"/>
          <w:u w:val="single"/>
          <w:lang w:eastAsia="cs-CZ"/>
        </w:rPr>
        <w:t xml:space="preserve">Zvýšit odolnost členských států EU, jejich regionálních uskupení, regionů a měst; Zlepšit informovanost pro rozhodování o problematice adaptace na změnu klimatu; a Zvýšit odolnost klíčových zranitelných sektorů vůči negativním dopadům změny klimatu. </w:t>
      </w:r>
      <w:r w:rsidRPr="00F461F2">
        <w:rPr>
          <w:rFonts w:ascii="Times New Roman" w:eastAsia="Times New Roman" w:hAnsi="Times New Roman" w:cs="Times New Roman"/>
          <w:sz w:val="24"/>
          <w:szCs w:val="24"/>
          <w:lang w:eastAsia="cs-CZ"/>
        </w:rPr>
        <w:t> </w:t>
      </w:r>
      <w:proofErr w:type="gramStart"/>
      <w:r w:rsidRPr="00F461F2">
        <w:rPr>
          <w:rFonts w:ascii="Times New Roman" w:eastAsia="Times New Roman" w:hAnsi="Times New Roman" w:cs="Times New Roman"/>
          <w:sz w:val="24"/>
          <w:szCs w:val="24"/>
          <w:lang w:eastAsia="cs-CZ"/>
        </w:rPr>
        <w:t>roce</w:t>
      </w:r>
      <w:proofErr w:type="gramEnd"/>
      <w:r w:rsidRPr="00F461F2">
        <w:rPr>
          <w:rFonts w:ascii="Times New Roman" w:eastAsia="Times New Roman" w:hAnsi="Times New Roman" w:cs="Times New Roman"/>
          <w:sz w:val="24"/>
          <w:szCs w:val="24"/>
          <w:lang w:eastAsia="cs-CZ"/>
        </w:rPr>
        <w:t xml:space="preserve"> 2018 by měla proběhnout revize přijatých opatření s cílem zvážit dodatečné kroky pro splnění stanovených cílů strategie do roku 2020.</w:t>
      </w:r>
    </w:p>
    <w:p w:rsidR="00F461F2" w:rsidRPr="00F461F2" w:rsidRDefault="00F461F2" w:rsidP="00F461F2">
      <w:pPr>
        <w:spacing w:after="120" w:line="240" w:lineRule="auto"/>
        <w:jc w:val="both"/>
        <w:rPr>
          <w:rFonts w:ascii="Times New Roman" w:eastAsia="Times New Roman" w:hAnsi="Times New Roman" w:cs="Times New Roman"/>
          <w:b/>
          <w:snapToGrid w:val="0"/>
          <w:sz w:val="24"/>
          <w:szCs w:val="24"/>
          <w:u w:val="single"/>
          <w:lang w:eastAsia="cs-CZ"/>
        </w:rPr>
      </w:pPr>
    </w:p>
    <w:p w:rsidR="00F461F2" w:rsidRPr="00F461F2" w:rsidRDefault="00F461F2" w:rsidP="00F461F2">
      <w:pPr>
        <w:pStyle w:val="PointManual"/>
        <w:spacing w:before="0" w:after="120"/>
        <w:rPr>
          <w:b/>
        </w:rPr>
      </w:pPr>
      <w:r>
        <w:rPr>
          <w:b/>
          <w:snapToGrid w:val="0"/>
          <w:u w:val="single"/>
          <w:lang w:eastAsia="cs-CZ"/>
        </w:rPr>
        <w:t xml:space="preserve"> </w:t>
      </w:r>
      <w:r w:rsidRPr="00F461F2">
        <w:rPr>
          <w:b/>
        </w:rPr>
        <w:t>Systém EU pro obchodování s emisemi (ETS)/letectví</w:t>
      </w:r>
    </w:p>
    <w:p w:rsidR="00F461F2" w:rsidRPr="00F461F2" w:rsidRDefault="00F461F2" w:rsidP="00F461F2">
      <w:pPr>
        <w:tabs>
          <w:tab w:val="num" w:pos="1701"/>
        </w:tabs>
        <w:spacing w:after="120" w:line="240" w:lineRule="auto"/>
        <w:ind w:left="1701" w:hanging="567"/>
        <w:outlineLvl w:val="1"/>
        <w:rPr>
          <w:rFonts w:ascii="Times New Roman" w:eastAsia="Arial Unicode MS" w:hAnsi="Times New Roman" w:cs="Times New Roman"/>
          <w:color w:val="000000"/>
          <w:kern w:val="1"/>
          <w:sz w:val="24"/>
          <w:szCs w:val="24"/>
          <w:lang w:eastAsia="cs-CZ"/>
        </w:rPr>
      </w:pPr>
      <w:r w:rsidRPr="00F461F2">
        <w:rPr>
          <w:rFonts w:ascii="Times New Roman" w:eastAsia="Times New Roman" w:hAnsi="Times New Roman" w:cs="Times New Roman"/>
          <w:sz w:val="24"/>
          <w:szCs w:val="24"/>
        </w:rPr>
        <w:t>informace Komise</w:t>
      </w:r>
      <w:r>
        <w:rPr>
          <w:rFonts w:ascii="Times New Roman" w:eastAsia="Arial Unicode MS" w:hAnsi="Times New Roman" w:cs="Times New Roman"/>
          <w:b/>
          <w:color w:val="000000"/>
          <w:kern w:val="1"/>
          <w:sz w:val="24"/>
          <w:szCs w:val="24"/>
          <w:u w:val="single"/>
          <w:lang w:eastAsia="cs-CZ"/>
        </w:rPr>
        <w:t xml:space="preserve"> </w:t>
      </w:r>
    </w:p>
    <w:p w:rsidR="00F461F2" w:rsidRPr="00F461F2" w:rsidRDefault="00F461F2" w:rsidP="00F461F2">
      <w:pPr>
        <w:spacing w:after="120" w:line="240" w:lineRule="auto"/>
        <w:jc w:val="both"/>
        <w:rPr>
          <w:rFonts w:ascii="Times New Roman" w:eastAsia="Arial Unicode MS" w:hAnsi="Times New Roman" w:cs="Times New Roman"/>
          <w:b/>
          <w:color w:val="000000"/>
          <w:kern w:val="1"/>
          <w:sz w:val="24"/>
          <w:szCs w:val="24"/>
          <w:u w:val="single"/>
          <w:lang w:eastAsia="hi-IN" w:bidi="hi-IN"/>
        </w:rPr>
      </w:pPr>
      <w:r w:rsidRPr="00F461F2">
        <w:rPr>
          <w:rFonts w:ascii="Times New Roman" w:eastAsia="Arial Unicode MS" w:hAnsi="Times New Roman" w:cs="Times New Roman"/>
          <w:color w:val="000000"/>
          <w:kern w:val="1"/>
          <w:sz w:val="24"/>
          <w:szCs w:val="24"/>
          <w:lang w:eastAsia="cs-CZ"/>
        </w:rPr>
        <w:t>Česká republika dlouhodobě podporuje proces vyjednávání o vytvoření globálního rámce pro snižování emisí CO</w:t>
      </w:r>
      <w:r w:rsidRPr="00F461F2">
        <w:rPr>
          <w:rFonts w:ascii="Times New Roman" w:eastAsia="Arial Unicode MS" w:hAnsi="Times New Roman" w:cs="Times New Roman"/>
          <w:color w:val="000000"/>
          <w:kern w:val="1"/>
          <w:sz w:val="24"/>
          <w:szCs w:val="24"/>
          <w:vertAlign w:val="subscript"/>
          <w:lang w:eastAsia="cs-CZ"/>
        </w:rPr>
        <w:t>2</w:t>
      </w:r>
      <w:r w:rsidRPr="00F461F2">
        <w:rPr>
          <w:rFonts w:ascii="Times New Roman" w:eastAsia="Arial Unicode MS" w:hAnsi="Times New Roman" w:cs="Times New Roman"/>
          <w:color w:val="000000"/>
          <w:kern w:val="1"/>
          <w:sz w:val="24"/>
          <w:szCs w:val="24"/>
          <w:lang w:eastAsia="cs-CZ"/>
        </w:rPr>
        <w:t xml:space="preserve"> ze sektoru mezinárodní letecké dopravy prostřednictvím tržních opatření. </w:t>
      </w:r>
    </w:p>
    <w:p w:rsidR="00F461F2" w:rsidRPr="00F461F2" w:rsidRDefault="00F461F2" w:rsidP="00F461F2">
      <w:pPr>
        <w:spacing w:after="120" w:line="240" w:lineRule="auto"/>
        <w:jc w:val="both"/>
        <w:rPr>
          <w:rFonts w:ascii="Times New Roman" w:eastAsia="Arial Unicode MS" w:hAnsi="Times New Roman" w:cs="Times New Roman"/>
          <w:color w:val="000000"/>
          <w:kern w:val="1"/>
          <w:sz w:val="24"/>
          <w:szCs w:val="24"/>
          <w:lang w:eastAsia="hi-IN" w:bidi="hi-IN"/>
        </w:rPr>
      </w:pPr>
      <w:r w:rsidRPr="00F461F2">
        <w:rPr>
          <w:rFonts w:ascii="Times New Roman" w:eastAsia="Arial Unicode MS" w:hAnsi="Times New Roman" w:cs="Times New Roman"/>
          <w:b/>
          <w:color w:val="000000"/>
          <w:kern w:val="1"/>
          <w:sz w:val="24"/>
          <w:szCs w:val="24"/>
          <w:u w:val="single"/>
          <w:lang w:eastAsia="hi-IN" w:bidi="hi-IN"/>
        </w:rPr>
        <w:t>Stručný popis problematiky:</w:t>
      </w:r>
      <w:r w:rsidRPr="00F461F2">
        <w:rPr>
          <w:rFonts w:ascii="Times New Roman" w:eastAsia="Arial Unicode MS" w:hAnsi="Times New Roman" w:cs="Times New Roman"/>
          <w:color w:val="000000"/>
          <w:kern w:val="1"/>
          <w:sz w:val="24"/>
          <w:szCs w:val="24"/>
          <w:lang w:eastAsia="hi-IN" w:bidi="hi-IN"/>
        </w:rPr>
        <w:t xml:space="preserve"> </w:t>
      </w:r>
    </w:p>
    <w:p w:rsidR="00F461F2" w:rsidRPr="00F461F2" w:rsidRDefault="00F461F2" w:rsidP="00F461F2">
      <w:pPr>
        <w:spacing w:after="120" w:line="240" w:lineRule="auto"/>
        <w:jc w:val="both"/>
        <w:rPr>
          <w:rFonts w:ascii="Times New Roman" w:eastAsia="Arial Unicode MS" w:hAnsi="Times New Roman" w:cs="Times New Roman"/>
          <w:color w:val="000000"/>
          <w:kern w:val="1"/>
          <w:sz w:val="24"/>
          <w:szCs w:val="24"/>
          <w:lang w:eastAsia="cs-CZ"/>
        </w:rPr>
      </w:pPr>
      <w:r w:rsidRPr="00F461F2">
        <w:rPr>
          <w:rFonts w:ascii="Times New Roman" w:eastAsia="Arial Unicode MS" w:hAnsi="Times New Roman" w:cs="Times New Roman"/>
          <w:color w:val="000000"/>
          <w:kern w:val="1"/>
          <w:sz w:val="24"/>
          <w:szCs w:val="24"/>
          <w:lang w:eastAsia="cs-CZ"/>
        </w:rPr>
        <w:t xml:space="preserve">Dne 9. listopadu 2012 byl na zasedání Rady Mezinárodní organizace pro civilní letectví (dále jen „ICAO“) učiněn pokrok směrem k vytvoření globální právní úpravy ke snižování emisí z letectví prostřednictvím tržních opatření (MBM - Market </w:t>
      </w:r>
      <w:proofErr w:type="spellStart"/>
      <w:r w:rsidRPr="00F461F2">
        <w:rPr>
          <w:rFonts w:ascii="Times New Roman" w:eastAsia="Arial Unicode MS" w:hAnsi="Times New Roman" w:cs="Times New Roman"/>
          <w:color w:val="000000"/>
          <w:kern w:val="1"/>
          <w:sz w:val="24"/>
          <w:szCs w:val="24"/>
          <w:lang w:eastAsia="cs-CZ"/>
        </w:rPr>
        <w:t>Based</w:t>
      </w:r>
      <w:proofErr w:type="spellEnd"/>
      <w:r w:rsidRPr="00F461F2">
        <w:rPr>
          <w:rFonts w:ascii="Times New Roman" w:eastAsia="Arial Unicode MS" w:hAnsi="Times New Roman" w:cs="Times New Roman"/>
          <w:color w:val="000000"/>
          <w:kern w:val="1"/>
          <w:sz w:val="24"/>
          <w:szCs w:val="24"/>
          <w:lang w:eastAsia="cs-CZ"/>
        </w:rPr>
        <w:t xml:space="preserve"> </w:t>
      </w:r>
      <w:proofErr w:type="spellStart"/>
      <w:r w:rsidRPr="00F461F2">
        <w:rPr>
          <w:rFonts w:ascii="Times New Roman" w:eastAsia="Arial Unicode MS" w:hAnsi="Times New Roman" w:cs="Times New Roman"/>
          <w:color w:val="000000"/>
          <w:kern w:val="1"/>
          <w:sz w:val="24"/>
          <w:szCs w:val="24"/>
          <w:lang w:eastAsia="cs-CZ"/>
        </w:rPr>
        <w:t>Measures</w:t>
      </w:r>
      <w:proofErr w:type="spellEnd"/>
      <w:r w:rsidRPr="00F461F2">
        <w:rPr>
          <w:rFonts w:ascii="Times New Roman" w:eastAsia="Arial Unicode MS" w:hAnsi="Times New Roman" w:cs="Times New Roman"/>
          <w:color w:val="000000"/>
          <w:kern w:val="1"/>
          <w:sz w:val="24"/>
          <w:szCs w:val="24"/>
          <w:lang w:eastAsia="cs-CZ"/>
        </w:rPr>
        <w:t xml:space="preserve">). Byla zde </w:t>
      </w:r>
      <w:r w:rsidRPr="00F461F2">
        <w:rPr>
          <w:rFonts w:ascii="Times New Roman" w:eastAsia="Arial Unicode MS" w:hAnsi="Times New Roman" w:cs="Times New Roman"/>
          <w:color w:val="000000"/>
          <w:kern w:val="1"/>
          <w:sz w:val="24"/>
          <w:szCs w:val="24"/>
          <w:lang w:eastAsia="cs-CZ"/>
        </w:rPr>
        <w:lastRenderedPageBreak/>
        <w:t xml:space="preserve">ustanovena expertní pracovní skupina na vysoké úrovni (HGCC - </w:t>
      </w:r>
      <w:proofErr w:type="spellStart"/>
      <w:r w:rsidRPr="00F461F2">
        <w:rPr>
          <w:rFonts w:ascii="Times New Roman" w:eastAsia="Arial Unicode MS" w:hAnsi="Times New Roman" w:cs="Times New Roman"/>
          <w:color w:val="000000"/>
          <w:kern w:val="1"/>
          <w:sz w:val="24"/>
          <w:szCs w:val="24"/>
          <w:lang w:eastAsia="cs-CZ"/>
        </w:rPr>
        <w:t>High-Level</w:t>
      </w:r>
      <w:proofErr w:type="spellEnd"/>
      <w:r w:rsidRPr="00F461F2">
        <w:rPr>
          <w:rFonts w:ascii="Times New Roman" w:eastAsia="Arial Unicode MS" w:hAnsi="Times New Roman" w:cs="Times New Roman"/>
          <w:color w:val="000000"/>
          <w:kern w:val="1"/>
          <w:sz w:val="24"/>
          <w:szCs w:val="24"/>
          <w:lang w:eastAsia="cs-CZ"/>
        </w:rPr>
        <w:t xml:space="preserve"> Group on International </w:t>
      </w:r>
      <w:proofErr w:type="spellStart"/>
      <w:r w:rsidRPr="00F461F2">
        <w:rPr>
          <w:rFonts w:ascii="Times New Roman" w:eastAsia="Arial Unicode MS" w:hAnsi="Times New Roman" w:cs="Times New Roman"/>
          <w:color w:val="000000"/>
          <w:kern w:val="1"/>
          <w:sz w:val="24"/>
          <w:szCs w:val="24"/>
          <w:lang w:eastAsia="cs-CZ"/>
        </w:rPr>
        <w:t>Aviation</w:t>
      </w:r>
      <w:proofErr w:type="spellEnd"/>
      <w:r w:rsidRPr="00F461F2">
        <w:rPr>
          <w:rFonts w:ascii="Times New Roman" w:eastAsia="Arial Unicode MS" w:hAnsi="Times New Roman" w:cs="Times New Roman"/>
          <w:color w:val="000000"/>
          <w:kern w:val="1"/>
          <w:sz w:val="24"/>
          <w:szCs w:val="24"/>
          <w:lang w:eastAsia="cs-CZ"/>
        </w:rPr>
        <w:t xml:space="preserve"> and </w:t>
      </w:r>
      <w:proofErr w:type="spellStart"/>
      <w:r w:rsidRPr="00F461F2">
        <w:rPr>
          <w:rFonts w:ascii="Times New Roman" w:eastAsia="Arial Unicode MS" w:hAnsi="Times New Roman" w:cs="Times New Roman"/>
          <w:color w:val="000000"/>
          <w:kern w:val="1"/>
          <w:sz w:val="24"/>
          <w:szCs w:val="24"/>
          <w:lang w:eastAsia="cs-CZ"/>
        </w:rPr>
        <w:t>Climate</w:t>
      </w:r>
      <w:proofErr w:type="spellEnd"/>
      <w:r w:rsidRPr="00F461F2">
        <w:rPr>
          <w:rFonts w:ascii="Times New Roman" w:eastAsia="Arial Unicode MS" w:hAnsi="Times New Roman" w:cs="Times New Roman"/>
          <w:color w:val="000000"/>
          <w:kern w:val="1"/>
          <w:sz w:val="24"/>
          <w:szCs w:val="24"/>
          <w:lang w:eastAsia="cs-CZ"/>
        </w:rPr>
        <w:t xml:space="preserve"> </w:t>
      </w:r>
      <w:proofErr w:type="spellStart"/>
      <w:r w:rsidRPr="00F461F2">
        <w:rPr>
          <w:rFonts w:ascii="Times New Roman" w:eastAsia="Arial Unicode MS" w:hAnsi="Times New Roman" w:cs="Times New Roman"/>
          <w:color w:val="000000"/>
          <w:kern w:val="1"/>
          <w:sz w:val="24"/>
          <w:szCs w:val="24"/>
          <w:lang w:eastAsia="cs-CZ"/>
        </w:rPr>
        <w:t>Change</w:t>
      </w:r>
      <w:proofErr w:type="spellEnd"/>
      <w:r w:rsidRPr="00F461F2">
        <w:rPr>
          <w:rFonts w:ascii="Times New Roman" w:eastAsia="Arial Unicode MS" w:hAnsi="Times New Roman" w:cs="Times New Roman"/>
          <w:color w:val="000000"/>
          <w:kern w:val="1"/>
          <w:sz w:val="24"/>
          <w:szCs w:val="24"/>
          <w:lang w:eastAsia="cs-CZ"/>
        </w:rPr>
        <w:t>), jenž má vyřešit klíčové politické otázky, které dlouhodobě brání v pokroku ve vyjednávání ohledně implementace tržního opatření ke snižování emisí. Dále zde bylo dohodnuto, že ze současných tří variant tržních opatření, jež jsou nyní v rámci ICAO diskutovány, bude jedna z nich doporučena ke schválení na 38. Shromáždění ICAO v záři 2013. Diskutované MBM, které jsou z pohledu ČS EU technicky proveditelné, jsou následující:</w:t>
      </w:r>
    </w:p>
    <w:p w:rsidR="00F461F2" w:rsidRPr="00F461F2" w:rsidRDefault="00F461F2" w:rsidP="00F461F2">
      <w:pPr>
        <w:numPr>
          <w:ilvl w:val="0"/>
          <w:numId w:val="19"/>
        </w:numPr>
        <w:spacing w:after="120" w:line="240" w:lineRule="auto"/>
        <w:jc w:val="both"/>
        <w:rPr>
          <w:rFonts w:ascii="Times New Roman" w:eastAsia="Arial Unicode MS" w:hAnsi="Times New Roman" w:cs="Times New Roman"/>
          <w:color w:val="000000"/>
          <w:kern w:val="1"/>
          <w:sz w:val="24"/>
          <w:szCs w:val="24"/>
          <w:lang w:eastAsia="cs-CZ"/>
        </w:rPr>
      </w:pPr>
      <w:r w:rsidRPr="00F461F2">
        <w:rPr>
          <w:rFonts w:ascii="Times New Roman" w:eastAsia="Arial Unicode MS" w:hAnsi="Times New Roman" w:cs="Times New Roman"/>
          <w:color w:val="000000"/>
          <w:kern w:val="1"/>
          <w:sz w:val="24"/>
          <w:szCs w:val="24"/>
          <w:lang w:eastAsia="cs-CZ"/>
        </w:rPr>
        <w:t>kompenzace bez generování příjmů (</w:t>
      </w:r>
      <w:proofErr w:type="spellStart"/>
      <w:r w:rsidRPr="00F461F2">
        <w:rPr>
          <w:rFonts w:ascii="Times New Roman" w:eastAsia="Arial Unicode MS" w:hAnsi="Times New Roman" w:cs="Times New Roman"/>
          <w:i/>
          <w:color w:val="000000"/>
          <w:kern w:val="1"/>
          <w:sz w:val="24"/>
          <w:szCs w:val="24"/>
          <w:lang w:eastAsia="cs-CZ"/>
        </w:rPr>
        <w:t>offsetting</w:t>
      </w:r>
      <w:proofErr w:type="spellEnd"/>
      <w:r w:rsidRPr="00F461F2">
        <w:rPr>
          <w:rFonts w:ascii="Times New Roman" w:eastAsia="Arial Unicode MS" w:hAnsi="Times New Roman" w:cs="Times New Roman"/>
          <w:i/>
          <w:color w:val="000000"/>
          <w:kern w:val="1"/>
          <w:sz w:val="24"/>
          <w:szCs w:val="24"/>
          <w:lang w:eastAsia="cs-CZ"/>
        </w:rPr>
        <w:t xml:space="preserve"> </w:t>
      </w:r>
      <w:proofErr w:type="spellStart"/>
      <w:r w:rsidRPr="00F461F2">
        <w:rPr>
          <w:rFonts w:ascii="Times New Roman" w:eastAsia="Arial Unicode MS" w:hAnsi="Times New Roman" w:cs="Times New Roman"/>
          <w:i/>
          <w:color w:val="000000"/>
          <w:kern w:val="1"/>
          <w:sz w:val="24"/>
          <w:szCs w:val="24"/>
          <w:lang w:eastAsia="cs-CZ"/>
        </w:rPr>
        <w:t>without</w:t>
      </w:r>
      <w:proofErr w:type="spellEnd"/>
      <w:r w:rsidRPr="00F461F2">
        <w:rPr>
          <w:rFonts w:ascii="Times New Roman" w:eastAsia="Arial Unicode MS" w:hAnsi="Times New Roman" w:cs="Times New Roman"/>
          <w:i/>
          <w:color w:val="000000"/>
          <w:kern w:val="1"/>
          <w:sz w:val="24"/>
          <w:szCs w:val="24"/>
          <w:lang w:eastAsia="cs-CZ"/>
        </w:rPr>
        <w:t xml:space="preserve"> </w:t>
      </w:r>
      <w:proofErr w:type="spellStart"/>
      <w:r w:rsidRPr="00F461F2">
        <w:rPr>
          <w:rFonts w:ascii="Times New Roman" w:eastAsia="Arial Unicode MS" w:hAnsi="Times New Roman" w:cs="Times New Roman"/>
          <w:i/>
          <w:color w:val="000000"/>
          <w:kern w:val="1"/>
          <w:sz w:val="24"/>
          <w:szCs w:val="24"/>
          <w:lang w:eastAsia="cs-CZ"/>
        </w:rPr>
        <w:t>revenue</w:t>
      </w:r>
      <w:proofErr w:type="spellEnd"/>
      <w:r w:rsidRPr="00F461F2">
        <w:rPr>
          <w:rFonts w:ascii="Times New Roman" w:eastAsia="Arial Unicode MS" w:hAnsi="Times New Roman" w:cs="Times New Roman"/>
          <w:i/>
          <w:color w:val="000000"/>
          <w:kern w:val="1"/>
          <w:sz w:val="24"/>
          <w:szCs w:val="24"/>
          <w:lang w:eastAsia="cs-CZ"/>
        </w:rPr>
        <w:t xml:space="preserve"> </w:t>
      </w:r>
      <w:proofErr w:type="spellStart"/>
      <w:r w:rsidRPr="00F461F2">
        <w:rPr>
          <w:rFonts w:ascii="Times New Roman" w:eastAsia="Arial Unicode MS" w:hAnsi="Times New Roman" w:cs="Times New Roman"/>
          <w:i/>
          <w:color w:val="000000"/>
          <w:kern w:val="1"/>
          <w:sz w:val="24"/>
          <w:szCs w:val="24"/>
          <w:lang w:eastAsia="cs-CZ"/>
        </w:rPr>
        <w:t>generation</w:t>
      </w:r>
      <w:proofErr w:type="spellEnd"/>
      <w:r w:rsidRPr="00F461F2">
        <w:rPr>
          <w:rFonts w:ascii="Times New Roman" w:eastAsia="Arial Unicode MS" w:hAnsi="Times New Roman" w:cs="Times New Roman"/>
          <w:color w:val="000000"/>
          <w:kern w:val="1"/>
          <w:sz w:val="24"/>
          <w:szCs w:val="24"/>
          <w:lang w:eastAsia="cs-CZ"/>
        </w:rPr>
        <w:t>)</w:t>
      </w:r>
    </w:p>
    <w:p w:rsidR="00F461F2" w:rsidRPr="00F461F2" w:rsidRDefault="00F461F2" w:rsidP="00F461F2">
      <w:pPr>
        <w:numPr>
          <w:ilvl w:val="0"/>
          <w:numId w:val="19"/>
        </w:numPr>
        <w:spacing w:after="120" w:line="240" w:lineRule="auto"/>
        <w:jc w:val="both"/>
        <w:rPr>
          <w:rFonts w:ascii="Times New Roman" w:eastAsia="Arial Unicode MS" w:hAnsi="Times New Roman" w:cs="Times New Roman"/>
          <w:color w:val="000000"/>
          <w:kern w:val="1"/>
          <w:sz w:val="24"/>
          <w:szCs w:val="24"/>
          <w:lang w:eastAsia="cs-CZ"/>
        </w:rPr>
      </w:pPr>
      <w:r w:rsidRPr="00F461F2">
        <w:rPr>
          <w:rFonts w:ascii="Times New Roman" w:eastAsia="Arial Unicode MS" w:hAnsi="Times New Roman" w:cs="Times New Roman"/>
          <w:color w:val="000000"/>
          <w:kern w:val="1"/>
          <w:sz w:val="24"/>
          <w:szCs w:val="24"/>
          <w:lang w:eastAsia="cs-CZ"/>
        </w:rPr>
        <w:t>kompenzace s generování příjmů (</w:t>
      </w:r>
      <w:proofErr w:type="spellStart"/>
      <w:r w:rsidRPr="00F461F2">
        <w:rPr>
          <w:rFonts w:ascii="Times New Roman" w:eastAsia="Arial Unicode MS" w:hAnsi="Times New Roman" w:cs="Times New Roman"/>
          <w:i/>
          <w:color w:val="000000"/>
          <w:kern w:val="1"/>
          <w:sz w:val="24"/>
          <w:szCs w:val="24"/>
          <w:lang w:eastAsia="cs-CZ"/>
        </w:rPr>
        <w:t>offsetting</w:t>
      </w:r>
      <w:proofErr w:type="spellEnd"/>
      <w:r w:rsidRPr="00F461F2">
        <w:rPr>
          <w:rFonts w:ascii="Times New Roman" w:eastAsia="Arial Unicode MS" w:hAnsi="Times New Roman" w:cs="Times New Roman"/>
          <w:i/>
          <w:color w:val="000000"/>
          <w:kern w:val="1"/>
          <w:sz w:val="24"/>
          <w:szCs w:val="24"/>
          <w:lang w:eastAsia="cs-CZ"/>
        </w:rPr>
        <w:t xml:space="preserve"> </w:t>
      </w:r>
      <w:proofErr w:type="spellStart"/>
      <w:r w:rsidRPr="00F461F2">
        <w:rPr>
          <w:rFonts w:ascii="Times New Roman" w:eastAsia="Arial Unicode MS" w:hAnsi="Times New Roman" w:cs="Times New Roman"/>
          <w:i/>
          <w:color w:val="000000"/>
          <w:kern w:val="1"/>
          <w:sz w:val="24"/>
          <w:szCs w:val="24"/>
          <w:lang w:eastAsia="cs-CZ"/>
        </w:rPr>
        <w:t>with</w:t>
      </w:r>
      <w:proofErr w:type="spellEnd"/>
      <w:r w:rsidRPr="00F461F2">
        <w:rPr>
          <w:rFonts w:ascii="Times New Roman" w:eastAsia="Arial Unicode MS" w:hAnsi="Times New Roman" w:cs="Times New Roman"/>
          <w:i/>
          <w:color w:val="000000"/>
          <w:kern w:val="1"/>
          <w:sz w:val="24"/>
          <w:szCs w:val="24"/>
          <w:lang w:eastAsia="cs-CZ"/>
        </w:rPr>
        <w:t xml:space="preserve"> </w:t>
      </w:r>
      <w:proofErr w:type="spellStart"/>
      <w:r w:rsidRPr="00F461F2">
        <w:rPr>
          <w:rFonts w:ascii="Times New Roman" w:eastAsia="Arial Unicode MS" w:hAnsi="Times New Roman" w:cs="Times New Roman"/>
          <w:i/>
          <w:color w:val="000000"/>
          <w:kern w:val="1"/>
          <w:sz w:val="24"/>
          <w:szCs w:val="24"/>
          <w:lang w:eastAsia="cs-CZ"/>
        </w:rPr>
        <w:t>revenue</w:t>
      </w:r>
      <w:proofErr w:type="spellEnd"/>
      <w:r w:rsidRPr="00F461F2">
        <w:rPr>
          <w:rFonts w:ascii="Times New Roman" w:eastAsia="Arial Unicode MS" w:hAnsi="Times New Roman" w:cs="Times New Roman"/>
          <w:i/>
          <w:color w:val="000000"/>
          <w:kern w:val="1"/>
          <w:sz w:val="24"/>
          <w:szCs w:val="24"/>
          <w:lang w:eastAsia="cs-CZ"/>
        </w:rPr>
        <w:t xml:space="preserve"> </w:t>
      </w:r>
      <w:proofErr w:type="spellStart"/>
      <w:r w:rsidRPr="00F461F2">
        <w:rPr>
          <w:rFonts w:ascii="Times New Roman" w:eastAsia="Arial Unicode MS" w:hAnsi="Times New Roman" w:cs="Times New Roman"/>
          <w:i/>
          <w:color w:val="000000"/>
          <w:kern w:val="1"/>
          <w:sz w:val="24"/>
          <w:szCs w:val="24"/>
          <w:lang w:eastAsia="cs-CZ"/>
        </w:rPr>
        <w:t>generation</w:t>
      </w:r>
      <w:proofErr w:type="spellEnd"/>
      <w:r w:rsidRPr="00F461F2">
        <w:rPr>
          <w:rFonts w:ascii="Times New Roman" w:eastAsia="Arial Unicode MS" w:hAnsi="Times New Roman" w:cs="Times New Roman"/>
          <w:color w:val="000000"/>
          <w:kern w:val="1"/>
          <w:sz w:val="24"/>
          <w:szCs w:val="24"/>
          <w:lang w:eastAsia="cs-CZ"/>
        </w:rPr>
        <w:t xml:space="preserve">) </w:t>
      </w:r>
    </w:p>
    <w:p w:rsidR="00F461F2" w:rsidRPr="00F461F2" w:rsidRDefault="00F461F2" w:rsidP="00F461F2">
      <w:pPr>
        <w:numPr>
          <w:ilvl w:val="0"/>
          <w:numId w:val="19"/>
        </w:numPr>
        <w:spacing w:after="120" w:line="240" w:lineRule="auto"/>
        <w:jc w:val="both"/>
        <w:rPr>
          <w:rFonts w:ascii="Times New Roman" w:eastAsia="Arial Unicode MS" w:hAnsi="Times New Roman" w:cs="Times New Roman"/>
          <w:color w:val="000000"/>
          <w:kern w:val="1"/>
          <w:sz w:val="24"/>
          <w:szCs w:val="24"/>
          <w:lang w:eastAsia="cs-CZ"/>
        </w:rPr>
      </w:pPr>
      <w:r w:rsidRPr="00F461F2">
        <w:rPr>
          <w:rFonts w:ascii="Times New Roman" w:eastAsia="Arial Unicode MS" w:hAnsi="Times New Roman" w:cs="Times New Roman"/>
          <w:color w:val="000000"/>
          <w:kern w:val="1"/>
          <w:sz w:val="24"/>
          <w:szCs w:val="24"/>
          <w:lang w:eastAsia="cs-CZ"/>
        </w:rPr>
        <w:t>emisní obchodování (</w:t>
      </w:r>
      <w:proofErr w:type="spellStart"/>
      <w:r w:rsidRPr="00F461F2">
        <w:rPr>
          <w:rFonts w:ascii="Times New Roman" w:eastAsia="Arial Unicode MS" w:hAnsi="Times New Roman" w:cs="Times New Roman"/>
          <w:i/>
          <w:color w:val="000000"/>
          <w:kern w:val="1"/>
          <w:sz w:val="24"/>
          <w:szCs w:val="24"/>
          <w:lang w:eastAsia="cs-CZ"/>
        </w:rPr>
        <w:t>emissions</w:t>
      </w:r>
      <w:proofErr w:type="spellEnd"/>
      <w:r w:rsidRPr="00F461F2">
        <w:rPr>
          <w:rFonts w:ascii="Times New Roman" w:eastAsia="Arial Unicode MS" w:hAnsi="Times New Roman" w:cs="Times New Roman"/>
          <w:i/>
          <w:color w:val="000000"/>
          <w:kern w:val="1"/>
          <w:sz w:val="24"/>
          <w:szCs w:val="24"/>
          <w:lang w:eastAsia="cs-CZ"/>
        </w:rPr>
        <w:t xml:space="preserve"> </w:t>
      </w:r>
      <w:proofErr w:type="spellStart"/>
      <w:r w:rsidRPr="00F461F2">
        <w:rPr>
          <w:rFonts w:ascii="Times New Roman" w:eastAsia="Arial Unicode MS" w:hAnsi="Times New Roman" w:cs="Times New Roman"/>
          <w:i/>
          <w:color w:val="000000"/>
          <w:kern w:val="1"/>
          <w:sz w:val="24"/>
          <w:szCs w:val="24"/>
          <w:lang w:eastAsia="cs-CZ"/>
        </w:rPr>
        <w:t>trading</w:t>
      </w:r>
      <w:proofErr w:type="spellEnd"/>
      <w:r w:rsidRPr="00F461F2">
        <w:rPr>
          <w:rFonts w:ascii="Times New Roman" w:eastAsia="Arial Unicode MS" w:hAnsi="Times New Roman" w:cs="Times New Roman"/>
          <w:color w:val="000000"/>
          <w:kern w:val="1"/>
          <w:sz w:val="24"/>
          <w:szCs w:val="24"/>
          <w:lang w:eastAsia="cs-CZ"/>
        </w:rPr>
        <w:t xml:space="preserve">). </w:t>
      </w:r>
    </w:p>
    <w:p w:rsidR="00F461F2" w:rsidRPr="00F461F2" w:rsidRDefault="00F461F2" w:rsidP="00F461F2">
      <w:pPr>
        <w:spacing w:after="120" w:line="240" w:lineRule="auto"/>
        <w:jc w:val="both"/>
        <w:rPr>
          <w:rFonts w:ascii="Times New Roman" w:eastAsia="Arial Unicode MS" w:hAnsi="Times New Roman" w:cs="Times New Roman"/>
          <w:color w:val="000000"/>
          <w:kern w:val="1"/>
          <w:sz w:val="24"/>
          <w:szCs w:val="24"/>
          <w:lang w:eastAsia="cs-CZ"/>
        </w:rPr>
      </w:pPr>
    </w:p>
    <w:p w:rsidR="00F461F2" w:rsidRPr="00F461F2" w:rsidRDefault="00F461F2" w:rsidP="00F461F2">
      <w:pPr>
        <w:spacing w:after="120" w:line="240" w:lineRule="auto"/>
        <w:jc w:val="both"/>
        <w:rPr>
          <w:rFonts w:ascii="Times New Roman" w:eastAsia="Arial Unicode MS" w:hAnsi="Times New Roman" w:cs="Times New Roman"/>
          <w:color w:val="000000"/>
          <w:kern w:val="1"/>
          <w:sz w:val="24"/>
          <w:szCs w:val="24"/>
          <w:lang w:eastAsia="cs-CZ"/>
        </w:rPr>
      </w:pPr>
      <w:r w:rsidRPr="00F461F2">
        <w:rPr>
          <w:rFonts w:ascii="Times New Roman" w:eastAsia="Arial Unicode MS" w:hAnsi="Times New Roman" w:cs="Times New Roman"/>
          <w:color w:val="000000"/>
          <w:kern w:val="1"/>
          <w:sz w:val="24"/>
          <w:szCs w:val="24"/>
          <w:lang w:eastAsia="cs-CZ"/>
        </w:rPr>
        <w:t>Evropská komise v návaznosti na slibný postup v ICAO předložila koncem listopadu 2012 návrh rozhodnutí</w:t>
      </w:r>
      <w:r w:rsidRPr="00F461F2">
        <w:rPr>
          <w:rFonts w:ascii="Times New Roman" w:eastAsia="Arial Unicode MS" w:hAnsi="Times New Roman" w:cs="Times New Roman"/>
          <w:color w:val="000000"/>
          <w:kern w:val="1"/>
          <w:sz w:val="24"/>
          <w:szCs w:val="24"/>
          <w:vertAlign w:val="superscript"/>
          <w:lang w:eastAsia="cs-CZ"/>
        </w:rPr>
        <w:footnoteReference w:id="1"/>
      </w:r>
      <w:r w:rsidRPr="00F461F2">
        <w:rPr>
          <w:rFonts w:ascii="Times New Roman" w:eastAsia="Arial Unicode MS" w:hAnsi="Times New Roman" w:cs="Times New Roman"/>
          <w:color w:val="000000"/>
          <w:kern w:val="1"/>
          <w:sz w:val="24"/>
          <w:szCs w:val="24"/>
          <w:lang w:eastAsia="cs-CZ"/>
        </w:rPr>
        <w:t xml:space="preserve"> stanovující dočasnou odchylku od směrnice Evropského parlamentu a Rady 2003/87/ES o vytvoření systému pro obchodování s povolenkami na emise skleníkových plynů ve Společenství (dále jen „Směrnice“). Rozhodnutí má zajistit, že proti provozovatelům letadel, kteří nesplňují požadavky Směrnice na vykazování a dodržování povinností, které vznikly za období 2010 - 2012 a vztahují se na přílety a odlety na letiště nebo z letišť mimo EU a oblasti úzce spojené s EU sdílející společný závazek k ochraně klimatu (včetně Chorvatska a Švýcarska), nebudou přijata žádná donucovací opatření. Podmínkou je, že tito provozovatelé buď neobdrželi, nebo vrátili bezplatné povolenky přidělené v roce 2012 na takovéto činnosti. Řádné monitorování, vykazování a ověřování emisí z těchto letů je vítáno, avšak v případě nevykazování těchto emisí se neuplatní žádné sankce za nedodržování požadavků. Doposud dosažený pokrok ve vyjednávání v HGCC však nelze z pohledu EU hodnotit příliš pozitivně (konaly se již 3 jednání pracovní skupiny). Brazílie, Čína, Indie a Saudská Arábie jsou obecně proti MBM, ukazují pouze malou podporu pro globální MBM. Kladou důraz na </w:t>
      </w:r>
      <w:proofErr w:type="spellStart"/>
      <w:r w:rsidRPr="00F461F2">
        <w:rPr>
          <w:rFonts w:ascii="Times New Roman" w:eastAsia="Arial Unicode MS" w:hAnsi="Times New Roman" w:cs="Times New Roman"/>
          <w:i/>
          <w:color w:val="000000"/>
          <w:kern w:val="1"/>
          <w:sz w:val="24"/>
          <w:szCs w:val="24"/>
          <w:lang w:eastAsia="cs-CZ"/>
        </w:rPr>
        <w:t>special</w:t>
      </w:r>
      <w:proofErr w:type="spellEnd"/>
      <w:r w:rsidRPr="00F461F2">
        <w:rPr>
          <w:rFonts w:ascii="Times New Roman" w:eastAsia="Arial Unicode MS" w:hAnsi="Times New Roman" w:cs="Times New Roman"/>
          <w:i/>
          <w:color w:val="000000"/>
          <w:kern w:val="1"/>
          <w:sz w:val="24"/>
          <w:szCs w:val="24"/>
          <w:lang w:eastAsia="cs-CZ"/>
        </w:rPr>
        <w:t xml:space="preserve"> </w:t>
      </w:r>
      <w:proofErr w:type="spellStart"/>
      <w:r w:rsidRPr="00F461F2">
        <w:rPr>
          <w:rFonts w:ascii="Times New Roman" w:eastAsia="Arial Unicode MS" w:hAnsi="Times New Roman" w:cs="Times New Roman"/>
          <w:i/>
          <w:color w:val="000000"/>
          <w:kern w:val="1"/>
          <w:sz w:val="24"/>
          <w:szCs w:val="24"/>
          <w:lang w:eastAsia="cs-CZ"/>
        </w:rPr>
        <w:t>circumstances</w:t>
      </w:r>
      <w:proofErr w:type="spellEnd"/>
      <w:r w:rsidRPr="00F461F2">
        <w:rPr>
          <w:rFonts w:ascii="Times New Roman" w:eastAsia="Arial Unicode MS" w:hAnsi="Times New Roman" w:cs="Times New Roman"/>
          <w:i/>
          <w:color w:val="000000"/>
          <w:kern w:val="1"/>
          <w:sz w:val="24"/>
          <w:szCs w:val="24"/>
          <w:lang w:eastAsia="cs-CZ"/>
        </w:rPr>
        <w:t xml:space="preserve"> and </w:t>
      </w:r>
      <w:proofErr w:type="spellStart"/>
      <w:r w:rsidRPr="00F461F2">
        <w:rPr>
          <w:rFonts w:ascii="Times New Roman" w:eastAsia="Arial Unicode MS" w:hAnsi="Times New Roman" w:cs="Times New Roman"/>
          <w:i/>
          <w:color w:val="000000"/>
          <w:kern w:val="1"/>
          <w:sz w:val="24"/>
          <w:szCs w:val="24"/>
          <w:lang w:eastAsia="cs-CZ"/>
        </w:rPr>
        <w:t>respective</w:t>
      </w:r>
      <w:proofErr w:type="spellEnd"/>
      <w:r w:rsidRPr="00F461F2">
        <w:rPr>
          <w:rFonts w:ascii="Times New Roman" w:eastAsia="Arial Unicode MS" w:hAnsi="Times New Roman" w:cs="Times New Roman"/>
          <w:i/>
          <w:color w:val="000000"/>
          <w:kern w:val="1"/>
          <w:sz w:val="24"/>
          <w:szCs w:val="24"/>
          <w:lang w:eastAsia="cs-CZ"/>
        </w:rPr>
        <w:t xml:space="preserve"> </w:t>
      </w:r>
      <w:proofErr w:type="spellStart"/>
      <w:r w:rsidRPr="00F461F2">
        <w:rPr>
          <w:rFonts w:ascii="Times New Roman" w:eastAsia="Arial Unicode MS" w:hAnsi="Times New Roman" w:cs="Times New Roman"/>
          <w:i/>
          <w:color w:val="000000"/>
          <w:kern w:val="1"/>
          <w:sz w:val="24"/>
          <w:szCs w:val="24"/>
          <w:lang w:eastAsia="cs-CZ"/>
        </w:rPr>
        <w:t>capabilities</w:t>
      </w:r>
      <w:proofErr w:type="spellEnd"/>
      <w:r w:rsidRPr="00F461F2">
        <w:rPr>
          <w:rFonts w:ascii="Times New Roman" w:eastAsia="Arial Unicode MS" w:hAnsi="Times New Roman" w:cs="Times New Roman"/>
          <w:i/>
          <w:color w:val="000000"/>
          <w:kern w:val="1"/>
          <w:sz w:val="24"/>
          <w:szCs w:val="24"/>
          <w:lang w:eastAsia="cs-CZ"/>
        </w:rPr>
        <w:t xml:space="preserve"> (SCRC)</w:t>
      </w:r>
      <w:r w:rsidRPr="00F461F2">
        <w:rPr>
          <w:rFonts w:ascii="Times New Roman" w:eastAsia="Arial Unicode MS" w:hAnsi="Times New Roman" w:cs="Times New Roman"/>
          <w:color w:val="000000"/>
          <w:kern w:val="1"/>
          <w:sz w:val="24"/>
          <w:szCs w:val="24"/>
          <w:lang w:eastAsia="cs-CZ"/>
        </w:rPr>
        <w:t xml:space="preserve"> rozvojových zemí. Singapur, Spojené Arabské Emiráty, Mexiko, Japonsko, Kanada a Spojené státy jsou konstruktivnější k dosažení dohody. Nicméně stále existuje neshoda v klíčové otázce geografického rozsahu. Mnoho těchto států vnímá MBM spíše jako prostředek k omezení rozsahu EU ETS, než jako mechanismus poskytující komplexní pokrytí CO2 emisí. Většina těchto států podpoří národní přístup ke vzdušnému prostoru, zatímco státy EU a Austrálie jsou pro přístup na základě odletů (</w:t>
      </w:r>
      <w:proofErr w:type="spellStart"/>
      <w:r w:rsidRPr="00F461F2">
        <w:rPr>
          <w:rFonts w:ascii="Times New Roman" w:eastAsia="Arial Unicode MS" w:hAnsi="Times New Roman" w:cs="Times New Roman"/>
          <w:i/>
          <w:color w:val="000000"/>
          <w:kern w:val="1"/>
          <w:sz w:val="24"/>
          <w:szCs w:val="24"/>
          <w:lang w:eastAsia="cs-CZ"/>
        </w:rPr>
        <w:t>departing</w:t>
      </w:r>
      <w:proofErr w:type="spellEnd"/>
      <w:r w:rsidRPr="00F461F2">
        <w:rPr>
          <w:rFonts w:ascii="Times New Roman" w:eastAsia="Arial Unicode MS" w:hAnsi="Times New Roman" w:cs="Times New Roman"/>
          <w:i/>
          <w:color w:val="000000"/>
          <w:kern w:val="1"/>
          <w:sz w:val="24"/>
          <w:szCs w:val="24"/>
          <w:lang w:eastAsia="cs-CZ"/>
        </w:rPr>
        <w:t xml:space="preserve"> </w:t>
      </w:r>
      <w:proofErr w:type="spellStart"/>
      <w:r w:rsidRPr="00F461F2">
        <w:rPr>
          <w:rFonts w:ascii="Times New Roman" w:eastAsia="Arial Unicode MS" w:hAnsi="Times New Roman" w:cs="Times New Roman"/>
          <w:i/>
          <w:color w:val="000000"/>
          <w:kern w:val="1"/>
          <w:sz w:val="24"/>
          <w:szCs w:val="24"/>
          <w:lang w:eastAsia="cs-CZ"/>
        </w:rPr>
        <w:t>flights</w:t>
      </w:r>
      <w:proofErr w:type="spellEnd"/>
      <w:r w:rsidRPr="00F461F2">
        <w:rPr>
          <w:rFonts w:ascii="Times New Roman" w:eastAsia="Arial Unicode MS" w:hAnsi="Times New Roman" w:cs="Times New Roman"/>
          <w:i/>
          <w:color w:val="000000"/>
          <w:kern w:val="1"/>
          <w:sz w:val="24"/>
          <w:szCs w:val="24"/>
          <w:lang w:eastAsia="cs-CZ"/>
        </w:rPr>
        <w:t xml:space="preserve"> </w:t>
      </w:r>
      <w:proofErr w:type="spellStart"/>
      <w:r w:rsidRPr="00F461F2">
        <w:rPr>
          <w:rFonts w:ascii="Times New Roman" w:eastAsia="Arial Unicode MS" w:hAnsi="Times New Roman" w:cs="Times New Roman"/>
          <w:i/>
          <w:color w:val="000000"/>
          <w:kern w:val="1"/>
          <w:sz w:val="24"/>
          <w:szCs w:val="24"/>
          <w:lang w:eastAsia="cs-CZ"/>
        </w:rPr>
        <w:t>approach</w:t>
      </w:r>
      <w:proofErr w:type="spellEnd"/>
      <w:r w:rsidRPr="00F461F2">
        <w:rPr>
          <w:rFonts w:ascii="Times New Roman" w:eastAsia="Arial Unicode MS" w:hAnsi="Times New Roman" w:cs="Times New Roman"/>
          <w:color w:val="000000"/>
          <w:kern w:val="1"/>
          <w:sz w:val="24"/>
          <w:szCs w:val="24"/>
          <w:lang w:eastAsia="cs-CZ"/>
        </w:rPr>
        <w:t>).</w:t>
      </w:r>
    </w:p>
    <w:p w:rsidR="00F461F2" w:rsidRDefault="00F461F2" w:rsidP="00F461F2">
      <w:pPr>
        <w:spacing w:after="120" w:line="240" w:lineRule="auto"/>
        <w:jc w:val="both"/>
        <w:rPr>
          <w:rFonts w:ascii="Times New Roman" w:eastAsia="Arial Unicode MS" w:hAnsi="Times New Roman" w:cs="Times New Roman"/>
          <w:color w:val="000000"/>
          <w:kern w:val="1"/>
          <w:sz w:val="24"/>
          <w:szCs w:val="24"/>
          <w:lang w:eastAsia="cs-CZ"/>
        </w:rPr>
      </w:pPr>
      <w:r w:rsidRPr="00F461F2">
        <w:rPr>
          <w:rFonts w:ascii="Times New Roman" w:eastAsia="Arial Unicode MS" w:hAnsi="Times New Roman" w:cs="Times New Roman"/>
          <w:color w:val="000000"/>
          <w:kern w:val="1"/>
          <w:sz w:val="24"/>
          <w:szCs w:val="24"/>
          <w:lang w:eastAsia="cs-CZ"/>
        </w:rPr>
        <w:t>V případě, že Shromáždění ICAO v září 2013 nedosáhne odpovídajícího pokroku, bude systém EU ETS pokračovat v nezměněné, původně navržené a schválené podobě. V opačném případě Komise navrhne další legislativní úpravy systému EU ETS.</w:t>
      </w:r>
    </w:p>
    <w:p w:rsidR="00A939C2" w:rsidRPr="00A939C2" w:rsidRDefault="00A939C2" w:rsidP="00A939C2">
      <w:pPr>
        <w:spacing w:after="120" w:line="240" w:lineRule="auto"/>
        <w:ind w:left="1701" w:hanging="567"/>
        <w:outlineLvl w:val="1"/>
        <w:rPr>
          <w:rFonts w:ascii="Times New Roman" w:eastAsia="Times New Roman" w:hAnsi="Times New Roman" w:cs="Times New Roman"/>
          <w:sz w:val="24"/>
          <w:szCs w:val="24"/>
        </w:rPr>
      </w:pPr>
      <w:r w:rsidRPr="00A939C2">
        <w:rPr>
          <w:rFonts w:ascii="Times New Roman" w:eastAsia="Times New Roman" w:hAnsi="Times New Roman" w:cs="Times New Roman"/>
          <w:b/>
          <w:sz w:val="24"/>
          <w:szCs w:val="24"/>
        </w:rPr>
        <w:t xml:space="preserve">Návrh směrnice Evropského parlamentu a Rady, kterou se mění směrnice 2011/92/EU o posuzování vlivů některých veřejných a soukromých záměrů na životní prostředí </w:t>
      </w:r>
      <w:r w:rsidRPr="00A939C2">
        <w:rPr>
          <w:rFonts w:ascii="Times New Roman" w:eastAsia="Times New Roman" w:hAnsi="Times New Roman" w:cs="Times New Roman"/>
          <w:b/>
          <w:bCs/>
          <w:sz w:val="24"/>
          <w:szCs w:val="24"/>
        </w:rPr>
        <w:t>(EIA)</w:t>
      </w:r>
    </w:p>
    <w:p w:rsidR="00A939C2" w:rsidRPr="00A939C2" w:rsidRDefault="00A939C2" w:rsidP="00A939C2">
      <w:pPr>
        <w:tabs>
          <w:tab w:val="num" w:pos="2268"/>
        </w:tabs>
        <w:spacing w:after="0" w:line="240" w:lineRule="auto"/>
        <w:ind w:left="2268" w:hanging="567"/>
        <w:outlineLvl w:val="2"/>
        <w:rPr>
          <w:rFonts w:ascii="Times New Roman" w:eastAsia="Times New Roman" w:hAnsi="Times New Roman" w:cs="Times New Roman"/>
          <w:b/>
          <w:sz w:val="24"/>
          <w:szCs w:val="24"/>
          <w:u w:val="single"/>
          <w:lang w:eastAsia="cs-CZ"/>
        </w:rPr>
      </w:pPr>
      <w:r w:rsidRPr="00A939C2">
        <w:rPr>
          <w:rFonts w:ascii="Times New Roman" w:eastAsia="Times New Roman" w:hAnsi="Times New Roman" w:cs="Times New Roman"/>
          <w:sz w:val="24"/>
          <w:szCs w:val="24"/>
        </w:rPr>
        <w:t>informace předsednictví</w:t>
      </w:r>
    </w:p>
    <w:p w:rsidR="00A939C2" w:rsidRPr="00A939C2" w:rsidRDefault="00A939C2" w:rsidP="00A939C2">
      <w:pPr>
        <w:spacing w:after="120" w:line="240" w:lineRule="auto"/>
        <w:jc w:val="both"/>
        <w:rPr>
          <w:rFonts w:ascii="Times New Roman" w:eastAsia="Times New Roman" w:hAnsi="Times New Roman" w:cs="Times New Roman"/>
          <w:snapToGrid w:val="0"/>
          <w:sz w:val="24"/>
          <w:szCs w:val="24"/>
          <w:lang w:eastAsia="cs-CZ"/>
        </w:rPr>
      </w:pPr>
      <w:r w:rsidRPr="00A939C2">
        <w:rPr>
          <w:rFonts w:ascii="Times New Roman" w:eastAsia="Times New Roman" w:hAnsi="Times New Roman" w:cs="Times New Roman"/>
          <w:b/>
          <w:sz w:val="24"/>
          <w:szCs w:val="24"/>
          <w:u w:val="single"/>
          <w:lang w:eastAsia="cs-CZ"/>
        </w:rPr>
        <w:t>Stručný popis problematiky:</w:t>
      </w:r>
      <w:r w:rsidRPr="00A939C2">
        <w:rPr>
          <w:rFonts w:ascii="Times New Roman" w:eastAsia="Times New Roman" w:hAnsi="Times New Roman" w:cs="Times New Roman"/>
          <w:sz w:val="24"/>
          <w:szCs w:val="24"/>
          <w:lang w:eastAsia="cs-CZ"/>
        </w:rPr>
        <w:t xml:space="preserve"> </w:t>
      </w:r>
    </w:p>
    <w:p w:rsidR="00A939C2" w:rsidRPr="00A939C2" w:rsidRDefault="00A939C2" w:rsidP="00A939C2">
      <w:pPr>
        <w:spacing w:after="120" w:line="240" w:lineRule="auto"/>
        <w:jc w:val="both"/>
        <w:rPr>
          <w:rFonts w:ascii="Times New Roman" w:eastAsia="Times New Roman" w:hAnsi="Times New Roman" w:cs="Times New Roman"/>
          <w:b/>
          <w:iCs/>
          <w:sz w:val="24"/>
          <w:szCs w:val="24"/>
          <w:u w:val="single"/>
          <w:lang w:eastAsia="cs-CZ"/>
        </w:rPr>
      </w:pPr>
      <w:r w:rsidRPr="00A939C2">
        <w:rPr>
          <w:rFonts w:ascii="Times New Roman" w:eastAsia="Times New Roman" w:hAnsi="Times New Roman" w:cs="Times New Roman"/>
          <w:sz w:val="24"/>
          <w:szCs w:val="24"/>
          <w:lang w:eastAsia="cs-CZ"/>
        </w:rPr>
        <w:t xml:space="preserve">Evropská komise (EK) zveřejnila návrh revize směrnice Evropského parlamentu a Rady 2011/92/EU o posuzování vlivů některých veřejných a soukromých záměrů na životní prostředí (směrnice EIA) dne </w:t>
      </w:r>
      <w:proofErr w:type="gramStart"/>
      <w:r w:rsidRPr="00A939C2">
        <w:rPr>
          <w:rFonts w:ascii="Times New Roman" w:eastAsia="Times New Roman" w:hAnsi="Times New Roman" w:cs="Times New Roman"/>
          <w:sz w:val="24"/>
          <w:szCs w:val="24"/>
          <w:lang w:eastAsia="cs-CZ"/>
        </w:rPr>
        <w:t>26.10.2012</w:t>
      </w:r>
      <w:proofErr w:type="gramEnd"/>
      <w:r w:rsidRPr="00A939C2">
        <w:rPr>
          <w:rFonts w:ascii="Times New Roman" w:eastAsia="Times New Roman" w:hAnsi="Times New Roman" w:cs="Times New Roman"/>
          <w:b/>
          <w:sz w:val="24"/>
          <w:szCs w:val="24"/>
          <w:lang w:eastAsia="cs-CZ"/>
        </w:rPr>
        <w:t xml:space="preserve">. </w:t>
      </w:r>
      <w:r w:rsidRPr="00A939C2">
        <w:rPr>
          <w:rFonts w:ascii="Times New Roman" w:eastAsia="Times New Roman" w:hAnsi="Times New Roman" w:cs="Times New Roman"/>
          <w:sz w:val="24"/>
          <w:szCs w:val="24"/>
          <w:lang w:eastAsia="cs-CZ"/>
        </w:rPr>
        <w:t xml:space="preserve">Pozice České republiky vůči tomuto návrhu byla, stejně tak jako pozice většiny členských států, negativní. </w:t>
      </w:r>
      <w:r w:rsidRPr="00A939C2">
        <w:rPr>
          <w:rFonts w:ascii="Times New Roman" w:eastAsia="Times New Roman" w:hAnsi="Times New Roman" w:cs="Times New Roman"/>
          <w:iCs/>
          <w:sz w:val="24"/>
          <w:szCs w:val="24"/>
          <w:lang w:eastAsia="cs-CZ"/>
        </w:rPr>
        <w:t xml:space="preserve">Česká republika ocenila snahu EK o zjednodušení procesu povolujícího řízení, posílení kvality procesu EIA a snížení </w:t>
      </w:r>
      <w:r w:rsidRPr="00A939C2">
        <w:rPr>
          <w:rFonts w:ascii="Times New Roman" w:eastAsia="Times New Roman" w:hAnsi="Times New Roman" w:cs="Times New Roman"/>
          <w:iCs/>
          <w:sz w:val="24"/>
          <w:szCs w:val="24"/>
          <w:lang w:eastAsia="cs-CZ"/>
        </w:rPr>
        <w:lastRenderedPageBreak/>
        <w:t>administrativní zátěže, jak na straně příslušných úřadů, tak na straně investorů. Česká republika však zaujala postoj, že pokud má být těchto cílů dosaženo, nestane se tak prostřednictvím představeného návrhu EK, zejména pokud jde o zjednodušení procesu povolování a snížení administrativní zátěže. Představený návrh by znamenal velký zásah do národní legislativy České republiky, a proto bylo požadováno, aby nové znění směrnice EIA zohledňovalo rozdílné národní systémy</w:t>
      </w:r>
      <w:r w:rsidRPr="00A939C2">
        <w:rPr>
          <w:rFonts w:ascii="Times New Roman" w:eastAsia="Times New Roman" w:hAnsi="Times New Roman" w:cs="Times New Roman"/>
          <w:b/>
          <w:iCs/>
          <w:sz w:val="24"/>
          <w:szCs w:val="24"/>
          <w:lang w:eastAsia="cs-CZ"/>
        </w:rPr>
        <w:t>.</w:t>
      </w:r>
    </w:p>
    <w:p w:rsidR="00A939C2" w:rsidRPr="00A939C2" w:rsidRDefault="00A939C2" w:rsidP="00A939C2">
      <w:pPr>
        <w:spacing w:after="120" w:line="240" w:lineRule="auto"/>
        <w:jc w:val="both"/>
        <w:rPr>
          <w:rFonts w:ascii="Times New Roman" w:eastAsia="Times New Roman" w:hAnsi="Times New Roman" w:cs="Times New Roman"/>
          <w:iCs/>
          <w:sz w:val="24"/>
          <w:szCs w:val="24"/>
          <w:u w:val="single"/>
          <w:lang w:eastAsia="cs-CZ"/>
        </w:rPr>
      </w:pPr>
      <w:r w:rsidRPr="00A939C2">
        <w:rPr>
          <w:rFonts w:ascii="Times New Roman" w:eastAsia="Times New Roman" w:hAnsi="Times New Roman" w:cs="Times New Roman"/>
          <w:iCs/>
          <w:sz w:val="24"/>
          <w:szCs w:val="24"/>
          <w:u w:val="single"/>
          <w:lang w:eastAsia="cs-CZ"/>
        </w:rPr>
        <w:t>Aktuální stav na úrovni Rady</w:t>
      </w:r>
    </w:p>
    <w:p w:rsidR="00A939C2" w:rsidRDefault="00A939C2" w:rsidP="00F461F2">
      <w:pPr>
        <w:spacing w:after="120" w:line="240" w:lineRule="auto"/>
        <w:jc w:val="both"/>
        <w:rPr>
          <w:rFonts w:ascii="Times New Roman" w:eastAsia="Arial Unicode MS" w:hAnsi="Times New Roman" w:cs="Times New Roman"/>
          <w:color w:val="000000"/>
          <w:kern w:val="1"/>
          <w:sz w:val="24"/>
          <w:szCs w:val="24"/>
          <w:lang w:eastAsia="cs-CZ"/>
        </w:rPr>
      </w:pPr>
      <w:r w:rsidRPr="00A939C2">
        <w:rPr>
          <w:rFonts w:ascii="Times New Roman" w:eastAsia="Times New Roman" w:hAnsi="Times New Roman" w:cs="Times New Roman"/>
          <w:iCs/>
          <w:sz w:val="24"/>
          <w:szCs w:val="24"/>
          <w:lang w:eastAsia="cs-CZ"/>
        </w:rPr>
        <w:t xml:space="preserve">V návaznosti na řadu jednání pracovních skupin a Radu EU uskutečněnou dne </w:t>
      </w:r>
      <w:proofErr w:type="gramStart"/>
      <w:r w:rsidRPr="00A939C2">
        <w:rPr>
          <w:rFonts w:ascii="Times New Roman" w:eastAsia="Times New Roman" w:hAnsi="Times New Roman" w:cs="Times New Roman"/>
          <w:iCs/>
          <w:sz w:val="24"/>
          <w:szCs w:val="24"/>
          <w:lang w:eastAsia="cs-CZ"/>
        </w:rPr>
        <w:t>21.3.2013</w:t>
      </w:r>
      <w:proofErr w:type="gramEnd"/>
      <w:r w:rsidRPr="00A939C2">
        <w:rPr>
          <w:rFonts w:ascii="Times New Roman" w:eastAsia="Times New Roman" w:hAnsi="Times New Roman" w:cs="Times New Roman"/>
          <w:iCs/>
          <w:sz w:val="24"/>
          <w:szCs w:val="24"/>
          <w:lang w:eastAsia="cs-CZ"/>
        </w:rPr>
        <w:t xml:space="preserve"> zpracovalo irské předsednictví revidovaný (kompromisní) text, který byl rozeslán členským státům dne 27.5.2013. Revidované znění ve všech hlavních změnách představuje výrazný pozitivní posun, kdy problematické části původního návrhu jsou buď </w:t>
      </w:r>
      <w:proofErr w:type="gramStart"/>
      <w:r w:rsidRPr="00A939C2">
        <w:rPr>
          <w:rFonts w:ascii="Times New Roman" w:eastAsia="Times New Roman" w:hAnsi="Times New Roman" w:cs="Times New Roman"/>
          <w:iCs/>
          <w:sz w:val="24"/>
          <w:szCs w:val="24"/>
          <w:lang w:eastAsia="cs-CZ"/>
        </w:rPr>
        <w:t>vypuštěny nebo</w:t>
      </w:r>
      <w:proofErr w:type="gramEnd"/>
      <w:r w:rsidRPr="00A939C2">
        <w:rPr>
          <w:rFonts w:ascii="Times New Roman" w:eastAsia="Times New Roman" w:hAnsi="Times New Roman" w:cs="Times New Roman"/>
          <w:iCs/>
          <w:sz w:val="24"/>
          <w:szCs w:val="24"/>
          <w:lang w:eastAsia="cs-CZ"/>
        </w:rPr>
        <w:t xml:space="preserve"> jsou označeny za dobrovolný nástroj. </w:t>
      </w:r>
    </w:p>
    <w:p w:rsidR="00A939C2" w:rsidRPr="00A939C2" w:rsidRDefault="00A939C2" w:rsidP="00A939C2">
      <w:pPr>
        <w:spacing w:after="0" w:line="240" w:lineRule="auto"/>
        <w:outlineLvl w:val="0"/>
        <w:rPr>
          <w:rFonts w:ascii="Times New Roman" w:eastAsia="Times New Roman" w:hAnsi="Times New Roman" w:cs="Times New Roman"/>
          <w:b/>
          <w:sz w:val="24"/>
          <w:szCs w:val="24"/>
        </w:rPr>
      </w:pPr>
      <w:proofErr w:type="spellStart"/>
      <w:r w:rsidRPr="00A939C2">
        <w:rPr>
          <w:rFonts w:ascii="Times New Roman" w:eastAsia="Times New Roman" w:hAnsi="Times New Roman" w:cs="Times New Roman"/>
          <w:b/>
          <w:sz w:val="24"/>
          <w:szCs w:val="24"/>
        </w:rPr>
        <w:t>Mikroplasty</w:t>
      </w:r>
      <w:proofErr w:type="spellEnd"/>
      <w:r w:rsidRPr="00A939C2">
        <w:rPr>
          <w:rFonts w:ascii="Times New Roman" w:eastAsia="Times New Roman" w:hAnsi="Times New Roman" w:cs="Times New Roman"/>
          <w:b/>
          <w:sz w:val="24"/>
          <w:szCs w:val="24"/>
        </w:rPr>
        <w:t xml:space="preserve"> v životním prostředí</w:t>
      </w:r>
    </w:p>
    <w:p w:rsidR="00A939C2" w:rsidRPr="00A939C2" w:rsidRDefault="00A939C2" w:rsidP="00A939C2">
      <w:pPr>
        <w:tabs>
          <w:tab w:val="num" w:pos="1701"/>
        </w:tabs>
        <w:spacing w:after="0" w:line="240" w:lineRule="auto"/>
        <w:ind w:left="1701" w:hanging="567"/>
        <w:outlineLvl w:val="1"/>
        <w:rPr>
          <w:rFonts w:ascii="Times New Roman" w:eastAsia="Times New Roman" w:hAnsi="Times New Roman" w:cs="Times New Roman"/>
          <w:b/>
          <w:sz w:val="24"/>
          <w:szCs w:val="24"/>
          <w:u w:val="single"/>
          <w:lang w:eastAsia="cs-CZ"/>
        </w:rPr>
      </w:pPr>
      <w:r w:rsidRPr="00A939C2">
        <w:rPr>
          <w:rFonts w:ascii="Times New Roman" w:eastAsia="Times New Roman" w:hAnsi="Times New Roman" w:cs="Times New Roman"/>
          <w:sz w:val="24"/>
          <w:szCs w:val="24"/>
        </w:rPr>
        <w:t>informace nizozemské delegace</w:t>
      </w:r>
    </w:p>
    <w:p w:rsidR="00A939C2" w:rsidRPr="00A939C2" w:rsidRDefault="00A939C2" w:rsidP="00A939C2">
      <w:pPr>
        <w:spacing w:after="120" w:line="240" w:lineRule="auto"/>
        <w:jc w:val="both"/>
        <w:rPr>
          <w:rFonts w:ascii="Times New Roman" w:eastAsia="Times New Roman" w:hAnsi="Times New Roman" w:cs="Times New Roman"/>
          <w:sz w:val="24"/>
          <w:szCs w:val="24"/>
          <w:lang w:eastAsia="cs-CZ"/>
        </w:rPr>
      </w:pPr>
      <w:r w:rsidRPr="00A939C2">
        <w:rPr>
          <w:rFonts w:ascii="Times New Roman" w:eastAsia="Times New Roman" w:hAnsi="Times New Roman" w:cs="Times New Roman"/>
          <w:b/>
          <w:sz w:val="24"/>
          <w:szCs w:val="24"/>
          <w:u w:val="single"/>
          <w:lang w:eastAsia="cs-CZ"/>
        </w:rPr>
        <w:t>Stručný popis problematiky:</w:t>
      </w:r>
      <w:r w:rsidRPr="00A939C2">
        <w:rPr>
          <w:rFonts w:ascii="Times New Roman" w:eastAsia="Times New Roman" w:hAnsi="Times New Roman" w:cs="Times New Roman"/>
          <w:sz w:val="24"/>
          <w:szCs w:val="24"/>
          <w:lang w:eastAsia="cs-CZ"/>
        </w:rPr>
        <w:t xml:space="preserve"> </w:t>
      </w:r>
    </w:p>
    <w:p w:rsidR="00A939C2" w:rsidRPr="00A939C2" w:rsidRDefault="00A939C2" w:rsidP="00A939C2">
      <w:pPr>
        <w:spacing w:after="120" w:line="240" w:lineRule="auto"/>
        <w:jc w:val="both"/>
        <w:rPr>
          <w:rFonts w:ascii="Times New Roman" w:eastAsia="Times New Roman" w:hAnsi="Times New Roman" w:cs="Times New Roman"/>
          <w:sz w:val="24"/>
          <w:szCs w:val="24"/>
          <w:lang w:eastAsia="cs-CZ"/>
        </w:rPr>
      </w:pPr>
      <w:r w:rsidRPr="00A939C2">
        <w:rPr>
          <w:rFonts w:ascii="Times New Roman" w:eastAsia="Times New Roman" w:hAnsi="Times New Roman" w:cs="Times New Roman"/>
          <w:sz w:val="24"/>
          <w:szCs w:val="24"/>
          <w:lang w:eastAsia="cs-CZ"/>
        </w:rPr>
        <w:t xml:space="preserve">Relativně nové vědecké studie upozorňují na problematiku přítomnosti </w:t>
      </w:r>
      <w:proofErr w:type="spellStart"/>
      <w:r w:rsidRPr="00A939C2">
        <w:rPr>
          <w:rFonts w:ascii="Times New Roman" w:eastAsia="Times New Roman" w:hAnsi="Times New Roman" w:cs="Times New Roman"/>
          <w:sz w:val="24"/>
          <w:szCs w:val="24"/>
          <w:lang w:eastAsia="cs-CZ"/>
        </w:rPr>
        <w:t>mikroplastů</w:t>
      </w:r>
      <w:proofErr w:type="spellEnd"/>
      <w:r w:rsidRPr="00A939C2">
        <w:rPr>
          <w:rFonts w:ascii="Times New Roman" w:eastAsia="Times New Roman" w:hAnsi="Times New Roman" w:cs="Times New Roman"/>
          <w:sz w:val="24"/>
          <w:szCs w:val="24"/>
          <w:lang w:eastAsia="cs-CZ"/>
        </w:rPr>
        <w:t xml:space="preserve"> v mořském prostředí. </w:t>
      </w:r>
      <w:proofErr w:type="spellStart"/>
      <w:r w:rsidRPr="00A939C2">
        <w:rPr>
          <w:rFonts w:ascii="Times New Roman" w:eastAsia="Times New Roman" w:hAnsi="Times New Roman" w:cs="Times New Roman"/>
          <w:sz w:val="24"/>
          <w:szCs w:val="24"/>
          <w:lang w:eastAsia="cs-CZ"/>
        </w:rPr>
        <w:t>Mikroplasty</w:t>
      </w:r>
      <w:proofErr w:type="spellEnd"/>
      <w:r w:rsidRPr="00A939C2">
        <w:rPr>
          <w:rFonts w:ascii="Times New Roman" w:eastAsia="Times New Roman" w:hAnsi="Times New Roman" w:cs="Times New Roman"/>
          <w:sz w:val="24"/>
          <w:szCs w:val="24"/>
          <w:lang w:eastAsia="cs-CZ"/>
        </w:rPr>
        <w:t xml:space="preserve"> jsou přitom drobné částečky syntetického původu, které se do mořského prostředí dostávají především ze dvou významných zdrojů. Prvním zdrojem jsou odpadní vody a druhým plastový mořský </w:t>
      </w:r>
      <w:proofErr w:type="spellStart"/>
      <w:r w:rsidRPr="00A939C2">
        <w:rPr>
          <w:rFonts w:ascii="Times New Roman" w:eastAsia="Times New Roman" w:hAnsi="Times New Roman" w:cs="Times New Roman"/>
          <w:sz w:val="24"/>
          <w:szCs w:val="24"/>
          <w:lang w:eastAsia="cs-CZ"/>
        </w:rPr>
        <w:t>littering</w:t>
      </w:r>
      <w:proofErr w:type="spellEnd"/>
      <w:r w:rsidRPr="00A939C2">
        <w:rPr>
          <w:rFonts w:ascii="Times New Roman" w:eastAsia="Times New Roman" w:hAnsi="Times New Roman" w:cs="Times New Roman"/>
          <w:sz w:val="24"/>
          <w:szCs w:val="24"/>
          <w:lang w:eastAsia="cs-CZ"/>
        </w:rPr>
        <w:t xml:space="preserve">, který se v důsledku fyzikálních vlivů (zejména UV záření) postupně rozpadá na menší částice. Podle některých studií je v důsledku mořských proudů na některých místech světových oceánů již více plastových mikročástic než planktonu. Přítomnost plastových mikročástic v mořském prostředí má údajně ve vyšších koncentracích negativní vliv na zooplankton, který tvoří významný článek potravního řetězce v oceánech. Dále je poukazováno na skutečnost, že </w:t>
      </w:r>
      <w:proofErr w:type="spellStart"/>
      <w:r w:rsidRPr="00A939C2">
        <w:rPr>
          <w:rFonts w:ascii="Times New Roman" w:eastAsia="Times New Roman" w:hAnsi="Times New Roman" w:cs="Times New Roman"/>
          <w:sz w:val="24"/>
          <w:szCs w:val="24"/>
          <w:lang w:eastAsia="cs-CZ"/>
        </w:rPr>
        <w:t>mikroplasty</w:t>
      </w:r>
      <w:proofErr w:type="spellEnd"/>
      <w:r w:rsidRPr="00A939C2">
        <w:rPr>
          <w:rFonts w:ascii="Times New Roman" w:eastAsia="Times New Roman" w:hAnsi="Times New Roman" w:cs="Times New Roman"/>
          <w:sz w:val="24"/>
          <w:szCs w:val="24"/>
          <w:lang w:eastAsia="cs-CZ"/>
        </w:rPr>
        <w:t xml:space="preserve"> mohou v důsledku svých fyzikálních vlastností adsorbovat na svém povrchu toxické látky (např. DDT nebo PCB), přičemž takto může dojít ke kontaminaci celého potravního řetězce.  </w:t>
      </w:r>
    </w:p>
    <w:p w:rsidR="00A939C2" w:rsidRPr="00A939C2" w:rsidRDefault="00A939C2" w:rsidP="00A939C2">
      <w:pPr>
        <w:spacing w:after="120" w:line="240" w:lineRule="auto"/>
        <w:jc w:val="both"/>
        <w:rPr>
          <w:rFonts w:ascii="Times New Roman" w:eastAsia="Times New Roman" w:hAnsi="Times New Roman" w:cs="Times New Roman"/>
          <w:sz w:val="24"/>
          <w:szCs w:val="24"/>
          <w:lang w:eastAsia="cs-CZ"/>
        </w:rPr>
      </w:pPr>
      <w:r w:rsidRPr="00A939C2">
        <w:rPr>
          <w:rFonts w:ascii="Times New Roman" w:eastAsia="Times New Roman" w:hAnsi="Times New Roman" w:cs="Times New Roman"/>
          <w:sz w:val="24"/>
          <w:szCs w:val="24"/>
          <w:lang w:eastAsia="cs-CZ"/>
        </w:rPr>
        <w:t xml:space="preserve">Zdrojem </w:t>
      </w:r>
      <w:proofErr w:type="spellStart"/>
      <w:r w:rsidRPr="00A939C2">
        <w:rPr>
          <w:rFonts w:ascii="Times New Roman" w:eastAsia="Times New Roman" w:hAnsi="Times New Roman" w:cs="Times New Roman"/>
          <w:sz w:val="24"/>
          <w:szCs w:val="24"/>
          <w:lang w:eastAsia="cs-CZ"/>
        </w:rPr>
        <w:t>mikroplastů</w:t>
      </w:r>
      <w:proofErr w:type="spellEnd"/>
      <w:r w:rsidRPr="00A939C2">
        <w:rPr>
          <w:rFonts w:ascii="Times New Roman" w:eastAsia="Times New Roman" w:hAnsi="Times New Roman" w:cs="Times New Roman"/>
          <w:sz w:val="24"/>
          <w:szCs w:val="24"/>
          <w:lang w:eastAsia="cs-CZ"/>
        </w:rPr>
        <w:t xml:space="preserve"> v odpadních vodách mohou být přitom např. také některé čisticí prostředky, zubní pasty nebo kosmetika. Nizozemsko apeluje na vytvoření nové politiky na úrovni EU, která by cílila na řešení tohoto environmentálního problému. Zároveň také poukazuje na skutečnost, že již řada evropských kosmetických společností se údajně zavázala plastové mikročástice přestat v budoucnosti ve svých výrobcích používat.</w:t>
      </w:r>
    </w:p>
    <w:p w:rsidR="00A939C2" w:rsidRDefault="00A939C2" w:rsidP="00A939C2">
      <w:pPr>
        <w:spacing w:after="120" w:line="240" w:lineRule="auto"/>
        <w:jc w:val="both"/>
        <w:rPr>
          <w:rFonts w:ascii="Times New Roman" w:eastAsia="Times New Roman" w:hAnsi="Times New Roman" w:cs="Times New Roman"/>
          <w:sz w:val="24"/>
          <w:szCs w:val="24"/>
          <w:lang w:eastAsia="cs-CZ"/>
        </w:rPr>
      </w:pPr>
      <w:r w:rsidRPr="00A939C2">
        <w:rPr>
          <w:rFonts w:ascii="Times New Roman" w:eastAsia="Times New Roman" w:hAnsi="Times New Roman" w:cs="Times New Roman"/>
          <w:sz w:val="24"/>
          <w:szCs w:val="24"/>
          <w:lang w:eastAsia="cs-CZ"/>
        </w:rPr>
        <w:t xml:space="preserve">Problematice </w:t>
      </w:r>
      <w:proofErr w:type="spellStart"/>
      <w:r w:rsidRPr="00A939C2">
        <w:rPr>
          <w:rFonts w:ascii="Times New Roman" w:eastAsia="Times New Roman" w:hAnsi="Times New Roman" w:cs="Times New Roman"/>
          <w:sz w:val="24"/>
          <w:szCs w:val="24"/>
          <w:lang w:eastAsia="cs-CZ"/>
        </w:rPr>
        <w:t>mikroplastů</w:t>
      </w:r>
      <w:proofErr w:type="spellEnd"/>
      <w:r w:rsidRPr="00A939C2">
        <w:rPr>
          <w:rFonts w:ascii="Times New Roman" w:eastAsia="Times New Roman" w:hAnsi="Times New Roman" w:cs="Times New Roman"/>
          <w:sz w:val="24"/>
          <w:szCs w:val="24"/>
          <w:lang w:eastAsia="cs-CZ"/>
        </w:rPr>
        <w:t xml:space="preserve"> v mořském prostředí se okrajově věnuje také nedávno proběhlá veřejná konzultace EK k řešení problematiky plastového odpadu v životním prostředí.</w:t>
      </w:r>
    </w:p>
    <w:p w:rsidR="00A939C2" w:rsidRDefault="00A939C2" w:rsidP="00A939C2">
      <w:pPr>
        <w:spacing w:after="120" w:line="240" w:lineRule="auto"/>
        <w:jc w:val="both"/>
        <w:rPr>
          <w:rFonts w:ascii="Times New Roman" w:eastAsia="Times New Roman" w:hAnsi="Times New Roman" w:cs="Times New Roman"/>
          <w:sz w:val="24"/>
          <w:szCs w:val="24"/>
          <w:lang w:eastAsia="cs-CZ"/>
        </w:rPr>
      </w:pPr>
    </w:p>
    <w:p w:rsidR="00E5782D" w:rsidRPr="00E5782D" w:rsidRDefault="00E5782D" w:rsidP="00A939C2">
      <w:pPr>
        <w:spacing w:after="120" w:line="240" w:lineRule="auto"/>
        <w:jc w:val="both"/>
        <w:rPr>
          <w:rFonts w:ascii="Times New Roman" w:hAnsi="Times New Roman" w:cs="Times New Roman"/>
          <w:b/>
          <w:sz w:val="28"/>
          <w:szCs w:val="28"/>
        </w:rPr>
      </w:pPr>
      <w:r w:rsidRPr="00E5782D">
        <w:rPr>
          <w:rFonts w:ascii="Times New Roman" w:hAnsi="Times New Roman" w:cs="Times New Roman"/>
          <w:b/>
          <w:sz w:val="28"/>
          <w:szCs w:val="28"/>
        </w:rPr>
        <w:t xml:space="preserve">10. Valné shromáždění </w:t>
      </w:r>
      <w:r w:rsidR="005135C2">
        <w:rPr>
          <w:rFonts w:ascii="Times New Roman" w:hAnsi="Times New Roman" w:cs="Times New Roman"/>
          <w:b/>
          <w:sz w:val="28"/>
          <w:szCs w:val="28"/>
        </w:rPr>
        <w:t xml:space="preserve">IMPEL </w:t>
      </w:r>
      <w:r w:rsidRPr="00E5782D">
        <w:rPr>
          <w:rFonts w:ascii="Times New Roman" w:hAnsi="Times New Roman" w:cs="Times New Roman"/>
          <w:b/>
          <w:sz w:val="28"/>
          <w:szCs w:val="28"/>
        </w:rPr>
        <w:t>na Kypru</w:t>
      </w:r>
      <w:r w:rsidR="00A939C2">
        <w:rPr>
          <w:rFonts w:ascii="Times New Roman" w:hAnsi="Times New Roman" w:cs="Times New Roman"/>
          <w:b/>
          <w:sz w:val="28"/>
          <w:szCs w:val="28"/>
        </w:rPr>
        <w:t>, Lenka Němcová</w:t>
      </w:r>
    </w:p>
    <w:p w:rsidR="00E5782D" w:rsidRDefault="00E5782D" w:rsidP="00E5782D">
      <w:pPr>
        <w:jc w:val="both"/>
        <w:rPr>
          <w:rFonts w:ascii="Times New Roman" w:hAnsi="Times New Roman" w:cs="Times New Roman"/>
        </w:rPr>
      </w:pPr>
      <w:r>
        <w:rPr>
          <w:rFonts w:ascii="Times New Roman" w:hAnsi="Times New Roman" w:cs="Times New Roman"/>
        </w:rPr>
        <w:t>Kypr jak</w:t>
      </w:r>
      <w:r w:rsidR="005135C2">
        <w:rPr>
          <w:rFonts w:ascii="Times New Roman" w:hAnsi="Times New Roman" w:cs="Times New Roman"/>
        </w:rPr>
        <w:t>o</w:t>
      </w:r>
      <w:r>
        <w:rPr>
          <w:rFonts w:ascii="Times New Roman" w:hAnsi="Times New Roman" w:cs="Times New Roman"/>
        </w:rPr>
        <w:t xml:space="preserve"> hostitelská země prezentoval svoje priority v oblasti implementace legislativy životního prostředí v oblasti klimatických změn, přírody, odpadového hospodářství, kontroly znečištění a udržitelného rozvoje. Prioritami jsou zvláště: národní strategie pro adaptaci na klimatické změny a jejich dopad na Kypr, podpora obnovitelné energie – </w:t>
      </w:r>
      <w:proofErr w:type="spellStart"/>
      <w:r>
        <w:rPr>
          <w:rFonts w:ascii="Times New Roman" w:hAnsi="Times New Roman" w:cs="Times New Roman"/>
        </w:rPr>
        <w:t>fotovoltaických</w:t>
      </w:r>
      <w:proofErr w:type="spellEnd"/>
      <w:r>
        <w:rPr>
          <w:rFonts w:ascii="Times New Roman" w:hAnsi="Times New Roman" w:cs="Times New Roman"/>
        </w:rPr>
        <w:t xml:space="preserve"> systémů a větrných farem. V oblasti ochrany přírody je </w:t>
      </w:r>
      <w:proofErr w:type="gramStart"/>
      <w:r>
        <w:rPr>
          <w:rFonts w:ascii="Times New Roman" w:hAnsi="Times New Roman" w:cs="Times New Roman"/>
        </w:rPr>
        <w:t>to  implementace</w:t>
      </w:r>
      <w:proofErr w:type="gramEnd"/>
      <w:r>
        <w:rPr>
          <w:rFonts w:ascii="Times New Roman" w:hAnsi="Times New Roman" w:cs="Times New Roman"/>
        </w:rPr>
        <w:t xml:space="preserve"> a monitoring sítě Natura 2000. V rámci odpadového hospodářství se věnují exportu do EU nebo třetích zemí za účelem recyklování a zpracování </w:t>
      </w:r>
      <w:proofErr w:type="gramStart"/>
      <w:r>
        <w:rPr>
          <w:rFonts w:ascii="Times New Roman" w:hAnsi="Times New Roman" w:cs="Times New Roman"/>
        </w:rPr>
        <w:t>odpadů  a  obalů</w:t>
      </w:r>
      <w:proofErr w:type="gramEnd"/>
      <w:r>
        <w:rPr>
          <w:rFonts w:ascii="Times New Roman" w:hAnsi="Times New Roman" w:cs="Times New Roman"/>
        </w:rPr>
        <w:t xml:space="preserve">. Nedávno vešel v platnost nový plán odpadového hospodářství, který je založen na odpadové hierarchii. Také je v plánu výstavba 3 nových integrovaných zařízení pro nakládání s odpadními vodami a 2 nových skládek do roku 2015.  Odbor inspekce práce se zabývá zajištěním bezpečí a zdraví při práci, konkrétně znečištěním ovzduší, chemickými látkami, nařízením REACH a směrnicí  </w:t>
      </w:r>
      <w:proofErr w:type="spellStart"/>
      <w:r>
        <w:rPr>
          <w:rFonts w:ascii="Times New Roman" w:hAnsi="Times New Roman" w:cs="Times New Roman"/>
        </w:rPr>
        <w:t>Seveso</w:t>
      </w:r>
      <w:proofErr w:type="spellEnd"/>
      <w:r>
        <w:rPr>
          <w:rFonts w:ascii="Times New Roman" w:hAnsi="Times New Roman" w:cs="Times New Roman"/>
        </w:rPr>
        <w:t xml:space="preserve">. Na Kypru mají celkem 86 zařízení, která spadají pod směrnici IPPC – 27 průmyslových </w:t>
      </w:r>
      <w:r>
        <w:rPr>
          <w:rFonts w:ascii="Times New Roman" w:hAnsi="Times New Roman" w:cs="Times New Roman"/>
        </w:rPr>
        <w:lastRenderedPageBreak/>
        <w:t xml:space="preserve">zařízení, 58 farem (prasat a drůbeže) a 580 zařízení, které nespadají pod IPPC, ale potřebují povolení na vypouštění emisí do ovzduší a 1500 malých zařízení, které nepotřebují žádné povolení.   Za Evropskou komisi Ian </w:t>
      </w:r>
      <w:proofErr w:type="spellStart"/>
      <w:r>
        <w:rPr>
          <w:rFonts w:ascii="Times New Roman" w:hAnsi="Times New Roman" w:cs="Times New Roman"/>
        </w:rPr>
        <w:t>Cadescu</w:t>
      </w:r>
      <w:proofErr w:type="spellEnd"/>
      <w:r>
        <w:rPr>
          <w:rFonts w:ascii="Times New Roman" w:hAnsi="Times New Roman" w:cs="Times New Roman"/>
        </w:rPr>
        <w:t>, ředitel odboru pro prosazování, spolupráce v případě porušení legislativy (</w:t>
      </w:r>
      <w:proofErr w:type="spellStart"/>
      <w:r>
        <w:rPr>
          <w:rFonts w:ascii="Times New Roman" w:hAnsi="Times New Roman" w:cs="Times New Roman"/>
        </w:rPr>
        <w:t>infringement</w:t>
      </w:r>
      <w:proofErr w:type="spellEnd"/>
      <w:r>
        <w:rPr>
          <w:rFonts w:ascii="Times New Roman" w:hAnsi="Times New Roman" w:cs="Times New Roman"/>
        </w:rPr>
        <w:t xml:space="preserve">) a právních věcí, informoval o 7. Akčním programu pro životní prostředí, který je více strategický než předchozí 6. Dále oznámil, že EK iniciovala několik studií k vyhodnocení doporučení o minimálních kritériích pro inspekce ŽP (RMCEI), z nichž vyplynulo několik možností, jak pokračovat, zda ponechat jako nezávazné doporučení, nebo jestli změnit doporučení na směrnici. K tomuto tématu bude několik konzultací se zainteresovanými </w:t>
      </w:r>
      <w:proofErr w:type="gramStart"/>
      <w:r>
        <w:rPr>
          <w:rFonts w:ascii="Times New Roman" w:hAnsi="Times New Roman" w:cs="Times New Roman"/>
        </w:rPr>
        <w:t>stranami  v příštím</w:t>
      </w:r>
      <w:proofErr w:type="gramEnd"/>
      <w:r>
        <w:rPr>
          <w:rFonts w:ascii="Times New Roman" w:hAnsi="Times New Roman" w:cs="Times New Roman"/>
        </w:rPr>
        <w:t xml:space="preserve"> roce. EK by uvítala, kdyby síť IMPEL začlenila do svých projektů také ochranu přírody a lesa vzhledem k tomu, že v této oblasti stoupá počet stížností na porušování legislativy (</w:t>
      </w:r>
      <w:proofErr w:type="spellStart"/>
      <w:r>
        <w:rPr>
          <w:rFonts w:ascii="Times New Roman" w:hAnsi="Times New Roman" w:cs="Times New Roman"/>
        </w:rPr>
        <w:t>infringement</w:t>
      </w:r>
      <w:proofErr w:type="spellEnd"/>
      <w:r>
        <w:rPr>
          <w:rFonts w:ascii="Times New Roman" w:hAnsi="Times New Roman" w:cs="Times New Roman"/>
        </w:rPr>
        <w:t xml:space="preserve">).  </w:t>
      </w:r>
    </w:p>
    <w:p w:rsidR="00E5782D" w:rsidRDefault="00E5782D" w:rsidP="00E5782D">
      <w:pPr>
        <w:spacing w:line="240" w:lineRule="auto"/>
        <w:jc w:val="both"/>
        <w:rPr>
          <w:b/>
          <w:sz w:val="28"/>
          <w:szCs w:val="28"/>
        </w:rPr>
      </w:pPr>
      <w:r>
        <w:rPr>
          <w:b/>
          <w:sz w:val="28"/>
          <w:szCs w:val="28"/>
        </w:rPr>
        <w:t>Byl schválen Strategický plán sítě IMPEL na 2013 – 2015</w:t>
      </w:r>
    </w:p>
    <w:p w:rsidR="00E5782D" w:rsidRDefault="00E5782D" w:rsidP="00E5782D">
      <w:pPr>
        <w:spacing w:line="240" w:lineRule="auto"/>
        <w:jc w:val="both"/>
        <w:rPr>
          <w:b/>
        </w:rPr>
      </w:pPr>
      <w:r>
        <w:rPr>
          <w:b/>
        </w:rPr>
        <w:t>4 hlavní cíle a priority jsou</w:t>
      </w:r>
    </w:p>
    <w:p w:rsidR="00E5782D" w:rsidRDefault="00E5782D" w:rsidP="00E5782D">
      <w:pPr>
        <w:pStyle w:val="Odstavecseseznamem"/>
        <w:numPr>
          <w:ilvl w:val="0"/>
          <w:numId w:val="2"/>
        </w:numPr>
        <w:spacing w:line="240" w:lineRule="auto"/>
        <w:jc w:val="both"/>
      </w:pPr>
      <w:r>
        <w:t>Podporovat více konzistentní návrhy a implementaci legislativy EU v oblasti životního prostředí</w:t>
      </w:r>
    </w:p>
    <w:p w:rsidR="00E5782D" w:rsidRDefault="00E5782D" w:rsidP="00E5782D">
      <w:pPr>
        <w:pStyle w:val="Odstavecseseznamem"/>
        <w:numPr>
          <w:ilvl w:val="0"/>
          <w:numId w:val="2"/>
        </w:numPr>
        <w:spacing w:line="240" w:lineRule="auto"/>
        <w:jc w:val="both"/>
      </w:pPr>
      <w:proofErr w:type="gramStart"/>
      <w:r>
        <w:t>Budov</w:t>
      </w:r>
      <w:r w:rsidR="00F461F2">
        <w:t>ání</w:t>
      </w:r>
      <w:r>
        <w:t xml:space="preserve">  kapacit</w:t>
      </w:r>
      <w:proofErr w:type="gramEnd"/>
      <w:r>
        <w:t xml:space="preserve">  sítě IMPEL</w:t>
      </w:r>
    </w:p>
    <w:p w:rsidR="00E5782D" w:rsidRDefault="00E5782D" w:rsidP="00E5782D">
      <w:pPr>
        <w:pStyle w:val="Odstavecseseznamem"/>
        <w:numPr>
          <w:ilvl w:val="0"/>
          <w:numId w:val="2"/>
        </w:numPr>
        <w:spacing w:line="240" w:lineRule="auto"/>
        <w:jc w:val="both"/>
      </w:pPr>
      <w:r>
        <w:t>Spolupracovat s partnery a zainteresovanými stranami</w:t>
      </w:r>
    </w:p>
    <w:p w:rsidR="00E5782D" w:rsidRPr="00E5782D" w:rsidRDefault="00E5782D" w:rsidP="00E5782D">
      <w:pPr>
        <w:pStyle w:val="Odstavecseseznamem"/>
        <w:numPr>
          <w:ilvl w:val="0"/>
          <w:numId w:val="2"/>
        </w:numPr>
        <w:spacing w:line="240" w:lineRule="auto"/>
        <w:jc w:val="both"/>
        <w:rPr>
          <w:b/>
        </w:rPr>
      </w:pPr>
      <w:r>
        <w:t>Zlepšovat program a projektový management</w:t>
      </w:r>
    </w:p>
    <w:p w:rsidR="00E5782D" w:rsidRDefault="00E5782D" w:rsidP="00E5782D">
      <w:pPr>
        <w:spacing w:line="240" w:lineRule="auto"/>
        <w:jc w:val="both"/>
        <w:rPr>
          <w:b/>
        </w:rPr>
      </w:pPr>
      <w:r>
        <w:rPr>
          <w:b/>
        </w:rPr>
        <w:t>V příštích třech letech budou v rámci sítě navrhovány projekty zaměřující se na tyto oblasti:</w:t>
      </w:r>
    </w:p>
    <w:p w:rsidR="00E5782D" w:rsidRDefault="00E5782D" w:rsidP="00E5782D">
      <w:pPr>
        <w:pStyle w:val="Odstavecseseznamem"/>
        <w:numPr>
          <w:ilvl w:val="0"/>
          <w:numId w:val="3"/>
        </w:numPr>
        <w:spacing w:line="240" w:lineRule="auto"/>
        <w:jc w:val="both"/>
      </w:pPr>
      <w:r>
        <w:t>Pomoc členům při implementaci nové legislativy</w:t>
      </w:r>
    </w:p>
    <w:p w:rsidR="00E5782D" w:rsidRDefault="00E5782D" w:rsidP="00E5782D">
      <w:pPr>
        <w:pStyle w:val="Odstavecseseznamem"/>
        <w:numPr>
          <w:ilvl w:val="0"/>
          <w:numId w:val="3"/>
        </w:numPr>
        <w:spacing w:line="240" w:lineRule="auto"/>
        <w:jc w:val="both"/>
      </w:pPr>
      <w:r>
        <w:t>Budování kapacit v organizacích členských států včetně IMPEL hodnotících iniciativ (IRI)</w:t>
      </w:r>
    </w:p>
    <w:p w:rsidR="00E5782D" w:rsidRDefault="00E5782D" w:rsidP="00E5782D">
      <w:pPr>
        <w:pStyle w:val="Odstavecseseznamem"/>
        <w:numPr>
          <w:ilvl w:val="0"/>
          <w:numId w:val="3"/>
        </w:numPr>
        <w:spacing w:line="240" w:lineRule="auto"/>
        <w:jc w:val="both"/>
      </w:pPr>
      <w:r>
        <w:t>Přeshraniční přeprava odpadů</w:t>
      </w:r>
    </w:p>
    <w:p w:rsidR="00E5782D" w:rsidRDefault="00E5782D" w:rsidP="00E5782D">
      <w:pPr>
        <w:pStyle w:val="Odstavecseseznamem"/>
        <w:numPr>
          <w:ilvl w:val="0"/>
          <w:numId w:val="3"/>
        </w:numPr>
        <w:spacing w:line="240" w:lineRule="auto"/>
        <w:jc w:val="both"/>
      </w:pPr>
      <w:r>
        <w:t>Problémové oblasti implementace identifikované sítí IMPEL a Evropskou komisí</w:t>
      </w:r>
    </w:p>
    <w:p w:rsidR="00E5782D" w:rsidRDefault="00E5782D" w:rsidP="00E5782D">
      <w:pPr>
        <w:spacing w:line="240" w:lineRule="auto"/>
        <w:jc w:val="both"/>
        <w:rPr>
          <w:b/>
        </w:rPr>
      </w:pPr>
      <w:r>
        <w:rPr>
          <w:b/>
        </w:rPr>
        <w:t xml:space="preserve">IMPEL se bude vždy zabývat více než jednou směrnicí a bude prosazovat přístupy, aby bylo dosaženo těchto cílů: </w:t>
      </w:r>
    </w:p>
    <w:p w:rsidR="00E5782D" w:rsidRDefault="00E5782D" w:rsidP="00E5782D">
      <w:pPr>
        <w:pStyle w:val="Odstavecseseznamem"/>
        <w:numPr>
          <w:ilvl w:val="0"/>
          <w:numId w:val="4"/>
        </w:numPr>
        <w:spacing w:line="240" w:lineRule="auto"/>
        <w:jc w:val="both"/>
        <w:rPr>
          <w:b/>
        </w:rPr>
      </w:pPr>
      <w:r>
        <w:t>Snížení objemu odpadů a zlepšení efektivity zdrojů</w:t>
      </w:r>
    </w:p>
    <w:p w:rsidR="00E5782D" w:rsidRDefault="00E5782D" w:rsidP="00E5782D">
      <w:pPr>
        <w:pStyle w:val="Odstavecseseznamem"/>
        <w:numPr>
          <w:ilvl w:val="0"/>
          <w:numId w:val="4"/>
        </w:numPr>
        <w:spacing w:line="240" w:lineRule="auto"/>
        <w:jc w:val="both"/>
        <w:rPr>
          <w:b/>
        </w:rPr>
      </w:pPr>
      <w:r>
        <w:t>Snižovaní a adaptace na klimatické změny a zlepšení energetické efektivnosti</w:t>
      </w:r>
    </w:p>
    <w:p w:rsidR="00E5782D" w:rsidRDefault="00E5782D" w:rsidP="00E5782D">
      <w:pPr>
        <w:pStyle w:val="Odstavecseseznamem"/>
        <w:numPr>
          <w:ilvl w:val="0"/>
          <w:numId w:val="4"/>
        </w:numPr>
        <w:spacing w:line="240" w:lineRule="auto"/>
        <w:jc w:val="both"/>
        <w:rPr>
          <w:b/>
        </w:rPr>
      </w:pPr>
      <w:r>
        <w:t>Ochrana přírodních stanovišť a biodiverzity</w:t>
      </w:r>
    </w:p>
    <w:p w:rsidR="00E5782D" w:rsidRDefault="00E5782D" w:rsidP="00E5782D">
      <w:pPr>
        <w:pStyle w:val="Odstavecseseznamem"/>
        <w:numPr>
          <w:ilvl w:val="0"/>
          <w:numId w:val="4"/>
        </w:numPr>
        <w:spacing w:line="240" w:lineRule="auto"/>
        <w:jc w:val="both"/>
        <w:rPr>
          <w:b/>
        </w:rPr>
      </w:pPr>
      <w:r>
        <w:t>Prevence a snižování znečištění emisemi do ovzduší, vody a půdy</w:t>
      </w:r>
    </w:p>
    <w:p w:rsidR="00E5782D" w:rsidRDefault="00E5782D" w:rsidP="00E5782D">
      <w:pPr>
        <w:pStyle w:val="Odstavecseseznamem"/>
        <w:numPr>
          <w:ilvl w:val="0"/>
          <w:numId w:val="4"/>
        </w:numPr>
        <w:spacing w:line="240" w:lineRule="auto"/>
        <w:jc w:val="both"/>
        <w:rPr>
          <w:b/>
        </w:rPr>
      </w:pPr>
      <w:r>
        <w:t>Prevence před ekologickými škodami a obnova poškozených oblasti</w:t>
      </w:r>
    </w:p>
    <w:p w:rsidR="00E5782D" w:rsidRDefault="00E5782D" w:rsidP="00E5782D">
      <w:pPr>
        <w:pStyle w:val="Odstavecseseznamem"/>
        <w:numPr>
          <w:ilvl w:val="0"/>
          <w:numId w:val="4"/>
        </w:numPr>
        <w:spacing w:line="240" w:lineRule="auto"/>
        <w:jc w:val="both"/>
        <w:rPr>
          <w:b/>
        </w:rPr>
      </w:pPr>
      <w:r>
        <w:t>Zlepšení inspekcí v rámci přeshraniční přepravy odpadů</w:t>
      </w:r>
    </w:p>
    <w:p w:rsidR="00E5782D" w:rsidRDefault="00E5782D" w:rsidP="00E5782D">
      <w:pPr>
        <w:spacing w:line="240" w:lineRule="auto"/>
        <w:jc w:val="both"/>
      </w:pPr>
    </w:p>
    <w:p w:rsidR="00E5782D" w:rsidRDefault="00E5782D" w:rsidP="00E5782D">
      <w:pPr>
        <w:tabs>
          <w:tab w:val="left" w:pos="3953"/>
        </w:tabs>
        <w:spacing w:line="240" w:lineRule="auto"/>
        <w:rPr>
          <w:b/>
          <w:sz w:val="28"/>
          <w:szCs w:val="28"/>
        </w:rPr>
      </w:pPr>
      <w:r>
        <w:rPr>
          <w:b/>
          <w:sz w:val="28"/>
          <w:szCs w:val="28"/>
        </w:rPr>
        <w:t>Návrhy nových projektů</w:t>
      </w:r>
    </w:p>
    <w:p w:rsidR="00E5782D" w:rsidRDefault="00E5782D" w:rsidP="00E5782D">
      <w:pPr>
        <w:spacing w:line="240" w:lineRule="auto"/>
        <w:jc w:val="both"/>
        <w:rPr>
          <w:b/>
          <w:sz w:val="28"/>
          <w:szCs w:val="28"/>
        </w:rPr>
      </w:pPr>
      <w:r>
        <w:rPr>
          <w:b/>
          <w:sz w:val="28"/>
          <w:szCs w:val="28"/>
        </w:rPr>
        <w:t>Cluster i</w:t>
      </w:r>
    </w:p>
    <w:p w:rsidR="00E5782D" w:rsidRDefault="00E5782D" w:rsidP="00E5782D">
      <w:pPr>
        <w:pStyle w:val="Odstavecseseznamem"/>
        <w:numPr>
          <w:ilvl w:val="0"/>
          <w:numId w:val="5"/>
        </w:numPr>
        <w:spacing w:line="240" w:lineRule="auto"/>
        <w:jc w:val="both"/>
      </w:pPr>
      <w:r>
        <w:t>Hodnocení projektu farmy prasat a projektu o skládkování – projekt schválen</w:t>
      </w:r>
    </w:p>
    <w:p w:rsidR="00E5782D" w:rsidRDefault="00E5782D" w:rsidP="00E5782D">
      <w:pPr>
        <w:pStyle w:val="Odstavecseseznamem"/>
        <w:numPr>
          <w:ilvl w:val="0"/>
          <w:numId w:val="5"/>
        </w:numPr>
        <w:spacing w:line="240" w:lineRule="auto"/>
        <w:jc w:val="both"/>
      </w:pPr>
      <w:r>
        <w:t>Využití řetězců dodavatelů ke snížení dopadu na životní prostředí – projekt schválen</w:t>
      </w:r>
    </w:p>
    <w:p w:rsidR="00E5782D" w:rsidRDefault="00E5782D" w:rsidP="00E5782D">
      <w:pPr>
        <w:pStyle w:val="Odstavecseseznamem"/>
        <w:numPr>
          <w:ilvl w:val="0"/>
          <w:numId w:val="5"/>
        </w:numPr>
        <w:spacing w:line="240" w:lineRule="auto"/>
        <w:jc w:val="both"/>
      </w:pPr>
      <w:r>
        <w:t>Projekt o skládkách, 3 společné inspekce ve 3 členských zemích – projekt schválen</w:t>
      </w:r>
    </w:p>
    <w:p w:rsidR="00E5782D" w:rsidRDefault="00E5782D" w:rsidP="00E5782D">
      <w:pPr>
        <w:pStyle w:val="Odstavecseseznamem"/>
        <w:numPr>
          <w:ilvl w:val="0"/>
          <w:numId w:val="5"/>
        </w:numPr>
        <w:spacing w:line="240" w:lineRule="auto"/>
        <w:jc w:val="both"/>
      </w:pPr>
      <w:r>
        <w:t>Dosažení shody s legislativou skrze manažerské systémy, fáze II – projekt schválen</w:t>
      </w:r>
    </w:p>
    <w:p w:rsidR="00E5782D" w:rsidRDefault="00E5782D" w:rsidP="00E5782D">
      <w:pPr>
        <w:pStyle w:val="Odstavecseseznamem"/>
        <w:numPr>
          <w:ilvl w:val="0"/>
          <w:numId w:val="5"/>
        </w:numPr>
        <w:spacing w:line="240" w:lineRule="auto"/>
        <w:jc w:val="both"/>
      </w:pPr>
      <w:r>
        <w:t>Inspekční cyklus v oblasti životního prostředí – projekt schválen</w:t>
      </w:r>
    </w:p>
    <w:p w:rsidR="00E5782D" w:rsidRDefault="00E5782D" w:rsidP="00E5782D">
      <w:pPr>
        <w:pStyle w:val="Odstavecseseznamem"/>
        <w:numPr>
          <w:ilvl w:val="0"/>
          <w:numId w:val="5"/>
        </w:numPr>
        <w:spacing w:line="240" w:lineRule="auto"/>
        <w:jc w:val="both"/>
      </w:pPr>
      <w:r>
        <w:t>DECO projekt – IMPEL projekt zabývající se dekontaminací a monitoringem podzemních vod a půdy ve znečištěných, bývalých průmyslových oblastech – projekt schválen</w:t>
      </w:r>
    </w:p>
    <w:p w:rsidR="00E5782D" w:rsidRDefault="00E5782D" w:rsidP="00E5782D">
      <w:pPr>
        <w:pStyle w:val="Odstavecseseznamem"/>
        <w:numPr>
          <w:ilvl w:val="0"/>
          <w:numId w:val="5"/>
        </w:numPr>
        <w:spacing w:line="240" w:lineRule="auto"/>
        <w:jc w:val="both"/>
      </w:pPr>
      <w:r>
        <w:t>Možné propojení rámcové směrnice o vodách a IPPC (IED) směrnice, fáze 3 – projekt schválen</w:t>
      </w:r>
    </w:p>
    <w:p w:rsidR="00E5782D" w:rsidRDefault="00E5782D" w:rsidP="00E5782D">
      <w:pPr>
        <w:pStyle w:val="Odstavecseseznamem"/>
        <w:numPr>
          <w:ilvl w:val="0"/>
          <w:numId w:val="5"/>
        </w:numPr>
        <w:spacing w:line="240" w:lineRule="auto"/>
        <w:jc w:val="both"/>
      </w:pPr>
      <w:r>
        <w:lastRenderedPageBreak/>
        <w:t>Souvislost mezi IED směrnicí a nařízením REACH – projekt schválen</w:t>
      </w:r>
    </w:p>
    <w:p w:rsidR="00E5782D" w:rsidRDefault="00E5782D" w:rsidP="00E5782D">
      <w:pPr>
        <w:pStyle w:val="Odstavecseseznamem"/>
        <w:numPr>
          <w:ilvl w:val="0"/>
          <w:numId w:val="5"/>
        </w:numPr>
        <w:spacing w:line="240" w:lineRule="auto"/>
        <w:jc w:val="both"/>
      </w:pPr>
      <w:r>
        <w:t>Prozkoumání potřeb pro projekty, které se zabývají požadavky týkající se ochrany přírody při povoleních a inspekcích průmyslových zařízení – projekt schválen</w:t>
      </w:r>
    </w:p>
    <w:p w:rsidR="00E5782D" w:rsidRDefault="00E5782D" w:rsidP="00E5782D">
      <w:pPr>
        <w:pStyle w:val="Odstavecseseznamem"/>
        <w:numPr>
          <w:ilvl w:val="0"/>
          <w:numId w:val="5"/>
        </w:numPr>
        <w:spacing w:line="240" w:lineRule="auto"/>
        <w:jc w:val="both"/>
      </w:pPr>
      <w:r>
        <w:t>Inspekce průmyslových zařízení v souladu se směrnicí o průmyslových emisích – doplnit program IRAM, aby vyhovoval požadavkům směrnice a společný workshop v rámci konference – projekt schválen</w:t>
      </w:r>
    </w:p>
    <w:p w:rsidR="00E5782D" w:rsidRDefault="00E5782D" w:rsidP="00E5782D">
      <w:pPr>
        <w:pStyle w:val="Odstavecseseznamem"/>
        <w:numPr>
          <w:ilvl w:val="0"/>
          <w:numId w:val="5"/>
        </w:numPr>
        <w:spacing w:line="240" w:lineRule="auto"/>
        <w:jc w:val="both"/>
      </w:pPr>
      <w:r>
        <w:t>IRI Finsko – projekt schválen</w:t>
      </w:r>
    </w:p>
    <w:p w:rsidR="00E5782D" w:rsidRDefault="00E5782D" w:rsidP="00E5782D">
      <w:pPr>
        <w:pStyle w:val="Odstavecseseznamem"/>
        <w:numPr>
          <w:ilvl w:val="0"/>
          <w:numId w:val="5"/>
        </w:numPr>
        <w:spacing w:line="240" w:lineRule="auto"/>
        <w:jc w:val="both"/>
      </w:pPr>
      <w:r>
        <w:t>IRI Polsko – projekt schválen</w:t>
      </w:r>
    </w:p>
    <w:p w:rsidR="00E5782D" w:rsidRDefault="00E5782D" w:rsidP="00E5782D">
      <w:pPr>
        <w:pStyle w:val="Odstavecseseznamem"/>
        <w:numPr>
          <w:ilvl w:val="0"/>
          <w:numId w:val="5"/>
        </w:numPr>
        <w:spacing w:line="240" w:lineRule="auto"/>
        <w:jc w:val="both"/>
      </w:pPr>
      <w:r>
        <w:t>Výběr adekvátních nástrojů vedle inspekcí k zajištění souladu s legislativou a dosažení environmentálních cílů – projekt schválen</w:t>
      </w:r>
    </w:p>
    <w:p w:rsidR="00E5782D" w:rsidRDefault="00E5782D" w:rsidP="00E5782D">
      <w:pPr>
        <w:pStyle w:val="Odstavecseseznamem"/>
        <w:numPr>
          <w:ilvl w:val="0"/>
          <w:numId w:val="5"/>
        </w:numPr>
        <w:spacing w:line="240" w:lineRule="auto"/>
        <w:jc w:val="both"/>
      </w:pPr>
      <w:r>
        <w:t>Výsledky zjištění z IRI – projekt schválen</w:t>
      </w:r>
    </w:p>
    <w:p w:rsidR="00E5782D" w:rsidRDefault="00E5782D" w:rsidP="00E5782D">
      <w:pPr>
        <w:pStyle w:val="Odstavecseseznamem"/>
        <w:numPr>
          <w:ilvl w:val="0"/>
          <w:numId w:val="5"/>
        </w:numPr>
        <w:spacing w:line="240" w:lineRule="auto"/>
        <w:jc w:val="both"/>
      </w:pPr>
      <w:r>
        <w:t>Poučení získané z havárií – projekt schválen</w:t>
      </w:r>
    </w:p>
    <w:p w:rsidR="00E5782D" w:rsidRDefault="00E5782D" w:rsidP="00E5782D">
      <w:pPr>
        <w:spacing w:line="240" w:lineRule="auto"/>
        <w:jc w:val="both"/>
        <w:rPr>
          <w:b/>
          <w:sz w:val="28"/>
          <w:szCs w:val="28"/>
        </w:rPr>
      </w:pPr>
      <w:r>
        <w:rPr>
          <w:b/>
          <w:sz w:val="28"/>
          <w:szCs w:val="28"/>
        </w:rPr>
        <w:t>Cluster TFS</w:t>
      </w:r>
    </w:p>
    <w:p w:rsidR="00E5782D" w:rsidRDefault="00E5782D" w:rsidP="00E5782D">
      <w:pPr>
        <w:pStyle w:val="Odstavecseseznamem"/>
        <w:numPr>
          <w:ilvl w:val="0"/>
          <w:numId w:val="6"/>
        </w:numPr>
        <w:spacing w:line="240" w:lineRule="auto"/>
        <w:jc w:val="both"/>
      </w:pPr>
      <w:r>
        <w:t>IMPEL TFS konference 2013 – projekt schválen</w:t>
      </w:r>
    </w:p>
    <w:p w:rsidR="00E5782D" w:rsidRDefault="00E5782D" w:rsidP="00E5782D">
      <w:pPr>
        <w:pStyle w:val="Odstavecseseznamem"/>
        <w:numPr>
          <w:ilvl w:val="0"/>
          <w:numId w:val="6"/>
        </w:numPr>
        <w:spacing w:line="240" w:lineRule="auto"/>
        <w:jc w:val="both"/>
      </w:pPr>
      <w:r>
        <w:t>Zařízení pro ukládání odpadů 2013 – projekt schválen</w:t>
      </w:r>
    </w:p>
    <w:p w:rsidR="00E5782D" w:rsidRDefault="00E5782D" w:rsidP="00E5782D">
      <w:pPr>
        <w:pStyle w:val="Odstavecseseznamem"/>
        <w:numPr>
          <w:ilvl w:val="0"/>
          <w:numId w:val="6"/>
        </w:numPr>
        <w:spacing w:line="240" w:lineRule="auto"/>
        <w:jc w:val="both"/>
      </w:pPr>
      <w:r>
        <w:t>IMPEL – spolupráce s třetími zeměmi – projekt schválen</w:t>
      </w:r>
    </w:p>
    <w:p w:rsidR="00E5782D" w:rsidRDefault="00E5782D" w:rsidP="00E5782D">
      <w:pPr>
        <w:pStyle w:val="Odstavecseseznamem"/>
        <w:numPr>
          <w:ilvl w:val="0"/>
          <w:numId w:val="6"/>
        </w:numPr>
        <w:spacing w:line="240" w:lineRule="auto"/>
        <w:jc w:val="both"/>
      </w:pPr>
      <w:r>
        <w:t>Projekt státních zástupců 2013 – projekt přijat</w:t>
      </w:r>
    </w:p>
    <w:p w:rsidR="00E5782D" w:rsidRDefault="00E5782D" w:rsidP="00E5782D">
      <w:pPr>
        <w:pStyle w:val="Odstavecseseznamem"/>
        <w:numPr>
          <w:ilvl w:val="0"/>
          <w:numId w:val="6"/>
        </w:numPr>
        <w:spacing w:line="240" w:lineRule="auto"/>
        <w:jc w:val="both"/>
      </w:pPr>
      <w:r>
        <w:t>IMPEL TFS NCP schůzka – projekt schválen</w:t>
      </w:r>
    </w:p>
    <w:p w:rsidR="00E5782D" w:rsidRDefault="00E5782D" w:rsidP="00E5782D">
      <w:pPr>
        <w:pStyle w:val="Odstavecseseznamem"/>
        <w:numPr>
          <w:ilvl w:val="0"/>
          <w:numId w:val="6"/>
        </w:numPr>
        <w:spacing w:line="240" w:lineRule="auto"/>
        <w:jc w:val="both"/>
      </w:pPr>
      <w:r>
        <w:t>Praktická implementace nové úpravy směrnice o odpadech z elektrických a elektronických zařízení</w:t>
      </w:r>
    </w:p>
    <w:p w:rsidR="00E5782D" w:rsidRDefault="00E5782D" w:rsidP="00E5782D">
      <w:pPr>
        <w:pStyle w:val="Odstavecseseznamem"/>
        <w:numPr>
          <w:ilvl w:val="0"/>
          <w:numId w:val="6"/>
        </w:numPr>
        <w:spacing w:line="240" w:lineRule="auto"/>
        <w:jc w:val="both"/>
      </w:pPr>
      <w:proofErr w:type="spellStart"/>
      <w:r>
        <w:t>Prosazovací</w:t>
      </w:r>
      <w:proofErr w:type="spellEnd"/>
      <w:r>
        <w:t xml:space="preserve"> akce III – projekt schválen</w:t>
      </w:r>
    </w:p>
    <w:p w:rsidR="00E5782D" w:rsidRDefault="00E5782D" w:rsidP="00E5782D">
      <w:pPr>
        <w:spacing w:line="240" w:lineRule="auto"/>
        <w:jc w:val="both"/>
        <w:rPr>
          <w:b/>
        </w:rPr>
      </w:pPr>
      <w:r>
        <w:rPr>
          <w:b/>
        </w:rPr>
        <w:t>Další návrhy projektů na rok 2013</w:t>
      </w:r>
    </w:p>
    <w:p w:rsidR="00E5782D" w:rsidRDefault="00E5782D" w:rsidP="00E5782D">
      <w:pPr>
        <w:pStyle w:val="Odstavecseseznamem"/>
        <w:numPr>
          <w:ilvl w:val="0"/>
          <w:numId w:val="7"/>
        </w:numPr>
        <w:spacing w:line="240" w:lineRule="auto"/>
        <w:jc w:val="both"/>
      </w:pPr>
      <w:r>
        <w:t>Eliminace nelegálního zabíjení ptáků, jejich chytání do pastí a obchodování s nimi – projekt schválen</w:t>
      </w:r>
    </w:p>
    <w:p w:rsidR="00E5782D" w:rsidRDefault="00E5782D" w:rsidP="00E5782D">
      <w:pPr>
        <w:pStyle w:val="Odstavecseseznamem"/>
        <w:numPr>
          <w:ilvl w:val="0"/>
          <w:numId w:val="7"/>
        </w:numPr>
        <w:spacing w:line="240" w:lineRule="auto"/>
        <w:jc w:val="both"/>
      </w:pPr>
      <w:r>
        <w:t>Vybudování kapacit IMPEL pro ochranu přírody – projektu schválen</w:t>
      </w:r>
    </w:p>
    <w:p w:rsidR="00E5782D" w:rsidRDefault="00E5782D" w:rsidP="00E5782D">
      <w:pPr>
        <w:pStyle w:val="Odstavecseseznamem"/>
        <w:numPr>
          <w:ilvl w:val="0"/>
          <w:numId w:val="7"/>
        </w:numPr>
        <w:spacing w:line="240" w:lineRule="auto"/>
        <w:jc w:val="both"/>
      </w:pPr>
      <w:r>
        <w:t>Zlepšení souladu s legislativou v sektoru zemědělství skrze práce v sítích a partnerství inspektorátů životního prostředí a zemědělství – projekt schválen</w:t>
      </w:r>
    </w:p>
    <w:p w:rsidR="00E5782D" w:rsidRDefault="00E5782D" w:rsidP="00E5782D">
      <w:pPr>
        <w:jc w:val="both"/>
        <w:rPr>
          <w:b/>
          <w:sz w:val="28"/>
          <w:szCs w:val="28"/>
        </w:rPr>
      </w:pPr>
      <w:r w:rsidRPr="00E5782D">
        <w:rPr>
          <w:b/>
          <w:sz w:val="28"/>
          <w:szCs w:val="28"/>
        </w:rPr>
        <w:t>Zasedání clusteru i a konference IMPEL na Maltě</w:t>
      </w:r>
      <w:r w:rsidR="00A939C2">
        <w:rPr>
          <w:b/>
          <w:sz w:val="28"/>
          <w:szCs w:val="28"/>
        </w:rPr>
        <w:t>, Lenka Němcová</w:t>
      </w:r>
    </w:p>
    <w:p w:rsidR="00163B72" w:rsidRPr="00163B72" w:rsidRDefault="00163B72" w:rsidP="00E5782D">
      <w:pPr>
        <w:jc w:val="both"/>
        <w:rPr>
          <w:b/>
          <w:sz w:val="24"/>
          <w:szCs w:val="24"/>
        </w:rPr>
      </w:pPr>
      <w:r w:rsidRPr="00163B72">
        <w:rPr>
          <w:b/>
          <w:sz w:val="24"/>
          <w:szCs w:val="24"/>
        </w:rPr>
        <w:t>Zasedání clusteru i</w:t>
      </w:r>
    </w:p>
    <w:p w:rsidR="00E5782D" w:rsidRDefault="00B44B12" w:rsidP="00B44B12">
      <w:pPr>
        <w:spacing w:line="240" w:lineRule="auto"/>
        <w:jc w:val="both"/>
        <w:rPr>
          <w:sz w:val="24"/>
          <w:szCs w:val="24"/>
        </w:rPr>
      </w:pPr>
      <w:r>
        <w:rPr>
          <w:sz w:val="24"/>
          <w:szCs w:val="24"/>
        </w:rPr>
        <w:t>Zasedání clusteru i se konalo v dubnu na Maltě, řešila se změna struktury zasedání, potřeba více diskutovat jednotlivé projekty. Také účast na projektech, pokud se k nim země přihlásí na Valném shromáždění</w:t>
      </w:r>
      <w:r w:rsidR="00DB66E4">
        <w:rPr>
          <w:sz w:val="24"/>
          <w:szCs w:val="24"/>
        </w:rPr>
        <w:t>,</w:t>
      </w:r>
      <w:r>
        <w:rPr>
          <w:sz w:val="24"/>
          <w:szCs w:val="24"/>
        </w:rPr>
        <w:t xml:space="preserve"> by měla být závazná. Dále proběhly informace o ukončených projektech:</w:t>
      </w:r>
    </w:p>
    <w:p w:rsidR="00B44B12" w:rsidRDefault="00B44B12" w:rsidP="00B44B12">
      <w:pPr>
        <w:pStyle w:val="Odstavecseseznamem"/>
        <w:numPr>
          <w:ilvl w:val="0"/>
          <w:numId w:val="15"/>
        </w:numPr>
        <w:spacing w:line="240" w:lineRule="auto"/>
        <w:jc w:val="both"/>
        <w:rPr>
          <w:sz w:val="24"/>
          <w:szCs w:val="24"/>
        </w:rPr>
      </w:pPr>
      <w:r>
        <w:rPr>
          <w:sz w:val="24"/>
          <w:szCs w:val="24"/>
        </w:rPr>
        <w:t>Výběr vhodných intervencí</w:t>
      </w:r>
    </w:p>
    <w:p w:rsidR="00B44B12" w:rsidRDefault="00B44B12" w:rsidP="00B44B12">
      <w:pPr>
        <w:pStyle w:val="Odstavecseseznamem"/>
        <w:numPr>
          <w:ilvl w:val="0"/>
          <w:numId w:val="15"/>
        </w:numPr>
        <w:spacing w:line="240" w:lineRule="auto"/>
        <w:jc w:val="both"/>
        <w:rPr>
          <w:sz w:val="24"/>
          <w:szCs w:val="24"/>
        </w:rPr>
      </w:pPr>
      <w:r>
        <w:rPr>
          <w:sz w:val="24"/>
          <w:szCs w:val="24"/>
        </w:rPr>
        <w:t>Inspekce v souladu se směrnicí o průmyslových emisích</w:t>
      </w:r>
    </w:p>
    <w:p w:rsidR="00B44B12" w:rsidRDefault="00B44B12" w:rsidP="00B44B12">
      <w:pPr>
        <w:pStyle w:val="Odstavecseseznamem"/>
        <w:numPr>
          <w:ilvl w:val="0"/>
          <w:numId w:val="15"/>
        </w:numPr>
        <w:spacing w:line="240" w:lineRule="auto"/>
        <w:jc w:val="both"/>
        <w:rPr>
          <w:sz w:val="24"/>
          <w:szCs w:val="24"/>
        </w:rPr>
      </w:pPr>
      <w:r>
        <w:rPr>
          <w:sz w:val="24"/>
          <w:szCs w:val="24"/>
        </w:rPr>
        <w:t>Zlepšení povolování a inspekcí IPPC v oblasti farem prasat II</w:t>
      </w:r>
    </w:p>
    <w:p w:rsidR="00B44B12" w:rsidRDefault="00B44B12" w:rsidP="00B44B12">
      <w:pPr>
        <w:pStyle w:val="Odstavecseseznamem"/>
        <w:numPr>
          <w:ilvl w:val="0"/>
          <w:numId w:val="15"/>
        </w:numPr>
        <w:spacing w:line="240" w:lineRule="auto"/>
        <w:jc w:val="both"/>
        <w:rPr>
          <w:sz w:val="24"/>
          <w:szCs w:val="24"/>
        </w:rPr>
      </w:pPr>
      <w:r>
        <w:rPr>
          <w:sz w:val="24"/>
          <w:szCs w:val="24"/>
        </w:rPr>
        <w:t>Projekt o skládkách II</w:t>
      </w:r>
    </w:p>
    <w:p w:rsidR="00B44B12" w:rsidRDefault="00B44B12" w:rsidP="00B44B12">
      <w:pPr>
        <w:spacing w:line="240" w:lineRule="auto"/>
        <w:jc w:val="both"/>
        <w:rPr>
          <w:sz w:val="24"/>
          <w:szCs w:val="24"/>
        </w:rPr>
      </w:pPr>
      <w:r>
        <w:rPr>
          <w:sz w:val="24"/>
          <w:szCs w:val="24"/>
        </w:rPr>
        <w:t>Byly podány zprávy o pokroku u probíhajících projektů:</w:t>
      </w:r>
    </w:p>
    <w:p w:rsidR="00B44B12" w:rsidRDefault="00B44B12" w:rsidP="00B44B12">
      <w:pPr>
        <w:pStyle w:val="Odstavecseseznamem"/>
        <w:numPr>
          <w:ilvl w:val="0"/>
          <w:numId w:val="16"/>
        </w:numPr>
        <w:spacing w:line="240" w:lineRule="auto"/>
        <w:jc w:val="both"/>
        <w:rPr>
          <w:sz w:val="24"/>
          <w:szCs w:val="24"/>
        </w:rPr>
      </w:pPr>
      <w:r>
        <w:rPr>
          <w:sz w:val="24"/>
          <w:szCs w:val="24"/>
        </w:rPr>
        <w:t>IRI v Polsku</w:t>
      </w:r>
    </w:p>
    <w:p w:rsidR="00B44B12" w:rsidRDefault="00B44B12" w:rsidP="00B44B12">
      <w:pPr>
        <w:pStyle w:val="Odstavecseseznamem"/>
        <w:numPr>
          <w:ilvl w:val="0"/>
          <w:numId w:val="16"/>
        </w:numPr>
        <w:spacing w:line="240" w:lineRule="auto"/>
        <w:jc w:val="both"/>
        <w:rPr>
          <w:sz w:val="24"/>
          <w:szCs w:val="24"/>
        </w:rPr>
      </w:pPr>
      <w:r>
        <w:rPr>
          <w:sz w:val="24"/>
          <w:szCs w:val="24"/>
        </w:rPr>
        <w:t>Výsledky z IRI</w:t>
      </w:r>
    </w:p>
    <w:p w:rsidR="00B44B12" w:rsidRDefault="00B44B12" w:rsidP="00B44B12">
      <w:pPr>
        <w:pStyle w:val="Odstavecseseznamem"/>
        <w:numPr>
          <w:ilvl w:val="0"/>
          <w:numId w:val="16"/>
        </w:numPr>
        <w:spacing w:line="240" w:lineRule="auto"/>
        <w:jc w:val="both"/>
        <w:rPr>
          <w:sz w:val="24"/>
          <w:szCs w:val="24"/>
        </w:rPr>
      </w:pPr>
      <w:r>
        <w:rPr>
          <w:sz w:val="24"/>
          <w:szCs w:val="24"/>
        </w:rPr>
        <w:t>Poučení získané z havárií</w:t>
      </w:r>
    </w:p>
    <w:p w:rsidR="00B44B12" w:rsidRDefault="00B44B12" w:rsidP="00B44B12">
      <w:pPr>
        <w:pStyle w:val="Odstavecseseznamem"/>
        <w:numPr>
          <w:ilvl w:val="0"/>
          <w:numId w:val="16"/>
        </w:numPr>
        <w:spacing w:line="240" w:lineRule="auto"/>
        <w:jc w:val="both"/>
        <w:rPr>
          <w:sz w:val="24"/>
          <w:szCs w:val="24"/>
        </w:rPr>
      </w:pPr>
      <w:r>
        <w:rPr>
          <w:sz w:val="24"/>
          <w:szCs w:val="24"/>
        </w:rPr>
        <w:lastRenderedPageBreak/>
        <w:t>IED a REACH</w:t>
      </w:r>
    </w:p>
    <w:p w:rsidR="00B44B12" w:rsidRDefault="00B44B12" w:rsidP="00B44B12">
      <w:pPr>
        <w:pStyle w:val="Odstavecseseznamem"/>
        <w:numPr>
          <w:ilvl w:val="0"/>
          <w:numId w:val="16"/>
        </w:numPr>
        <w:spacing w:line="240" w:lineRule="auto"/>
        <w:jc w:val="both"/>
        <w:rPr>
          <w:sz w:val="24"/>
          <w:szCs w:val="24"/>
        </w:rPr>
      </w:pPr>
      <w:r>
        <w:rPr>
          <w:sz w:val="24"/>
          <w:szCs w:val="24"/>
        </w:rPr>
        <w:t>DECO projekt</w:t>
      </w:r>
    </w:p>
    <w:p w:rsidR="00B44B12" w:rsidRDefault="00B44B12" w:rsidP="00B44B12">
      <w:pPr>
        <w:pStyle w:val="Odstavecseseznamem"/>
        <w:numPr>
          <w:ilvl w:val="0"/>
          <w:numId w:val="16"/>
        </w:numPr>
        <w:spacing w:line="240" w:lineRule="auto"/>
        <w:jc w:val="both"/>
        <w:rPr>
          <w:sz w:val="24"/>
          <w:szCs w:val="24"/>
        </w:rPr>
      </w:pPr>
      <w:r>
        <w:rPr>
          <w:sz w:val="24"/>
          <w:szCs w:val="24"/>
        </w:rPr>
        <w:t>Projekt o skládkách – 3 společné inspekce</w:t>
      </w:r>
    </w:p>
    <w:p w:rsidR="00B44B12" w:rsidRDefault="00B44B12" w:rsidP="00B44B12">
      <w:pPr>
        <w:pStyle w:val="Odstavecseseznamem"/>
        <w:numPr>
          <w:ilvl w:val="0"/>
          <w:numId w:val="16"/>
        </w:numPr>
        <w:spacing w:line="240" w:lineRule="auto"/>
        <w:jc w:val="both"/>
        <w:rPr>
          <w:sz w:val="24"/>
          <w:szCs w:val="24"/>
        </w:rPr>
      </w:pPr>
      <w:r>
        <w:rPr>
          <w:sz w:val="24"/>
          <w:szCs w:val="24"/>
        </w:rPr>
        <w:t xml:space="preserve">Inspekce v souladu se směrnicí o průmyslových emisích a IRAM </w:t>
      </w:r>
    </w:p>
    <w:p w:rsidR="00583B6D" w:rsidRDefault="00583B6D" w:rsidP="00B44B12">
      <w:pPr>
        <w:pStyle w:val="Odstavecseseznamem"/>
        <w:numPr>
          <w:ilvl w:val="0"/>
          <w:numId w:val="16"/>
        </w:numPr>
        <w:spacing w:line="240" w:lineRule="auto"/>
        <w:jc w:val="both"/>
        <w:rPr>
          <w:sz w:val="24"/>
          <w:szCs w:val="24"/>
        </w:rPr>
      </w:pPr>
      <w:r>
        <w:rPr>
          <w:sz w:val="24"/>
          <w:szCs w:val="24"/>
        </w:rPr>
        <w:t>Ochrana přírody při povolování a inspekcích v průmyslových zařízeních</w:t>
      </w:r>
    </w:p>
    <w:p w:rsidR="00583B6D" w:rsidRDefault="00583B6D" w:rsidP="00B44B12">
      <w:pPr>
        <w:pStyle w:val="Odstavecseseznamem"/>
        <w:numPr>
          <w:ilvl w:val="0"/>
          <w:numId w:val="16"/>
        </w:numPr>
        <w:spacing w:line="240" w:lineRule="auto"/>
        <w:jc w:val="both"/>
        <w:rPr>
          <w:sz w:val="24"/>
          <w:szCs w:val="24"/>
        </w:rPr>
      </w:pPr>
      <w:r>
        <w:rPr>
          <w:sz w:val="24"/>
          <w:szCs w:val="24"/>
        </w:rPr>
        <w:t>Inspekční cyklus</w:t>
      </w:r>
    </w:p>
    <w:p w:rsidR="00583B6D" w:rsidRDefault="00583B6D" w:rsidP="00B44B12">
      <w:pPr>
        <w:pStyle w:val="Odstavecseseznamem"/>
        <w:numPr>
          <w:ilvl w:val="0"/>
          <w:numId w:val="16"/>
        </w:numPr>
        <w:spacing w:line="240" w:lineRule="auto"/>
        <w:jc w:val="both"/>
        <w:rPr>
          <w:sz w:val="24"/>
          <w:szCs w:val="24"/>
        </w:rPr>
      </w:pPr>
      <w:r>
        <w:rPr>
          <w:sz w:val="24"/>
          <w:szCs w:val="24"/>
        </w:rPr>
        <w:t>Zlepšení prosazování požadavků na ochranu vod + zlepšení souladu s legislativou v sektoru zemědělství</w:t>
      </w:r>
    </w:p>
    <w:p w:rsidR="00A939C2" w:rsidRPr="00A939C2" w:rsidRDefault="00A939C2" w:rsidP="00A939C2">
      <w:pPr>
        <w:spacing w:line="240" w:lineRule="auto"/>
        <w:jc w:val="both"/>
        <w:rPr>
          <w:sz w:val="24"/>
          <w:szCs w:val="24"/>
        </w:rPr>
      </w:pPr>
    </w:p>
    <w:p w:rsidR="00583B6D" w:rsidRPr="00163B72" w:rsidRDefault="00583B6D" w:rsidP="00583B6D">
      <w:pPr>
        <w:spacing w:line="240" w:lineRule="auto"/>
        <w:jc w:val="both"/>
        <w:rPr>
          <w:b/>
          <w:sz w:val="24"/>
          <w:szCs w:val="24"/>
        </w:rPr>
      </w:pPr>
      <w:r w:rsidRPr="00163B72">
        <w:rPr>
          <w:b/>
          <w:sz w:val="24"/>
          <w:szCs w:val="24"/>
        </w:rPr>
        <w:t>IMPEL konference na Maltě (</w:t>
      </w:r>
      <w:proofErr w:type="gramStart"/>
      <w:r w:rsidRPr="00163B72">
        <w:rPr>
          <w:b/>
          <w:sz w:val="24"/>
          <w:szCs w:val="24"/>
        </w:rPr>
        <w:t>1.10</w:t>
      </w:r>
      <w:proofErr w:type="gramEnd"/>
      <w:r w:rsidRPr="00163B72">
        <w:rPr>
          <w:b/>
          <w:sz w:val="24"/>
          <w:szCs w:val="24"/>
        </w:rPr>
        <w:t xml:space="preserve">. – 4.10.2013) </w:t>
      </w:r>
    </w:p>
    <w:p w:rsidR="00583B6D" w:rsidRDefault="00583B6D" w:rsidP="00163B72">
      <w:pPr>
        <w:spacing w:line="240" w:lineRule="auto"/>
        <w:jc w:val="both"/>
        <w:rPr>
          <w:sz w:val="24"/>
          <w:szCs w:val="24"/>
        </w:rPr>
      </w:pPr>
      <w:r>
        <w:rPr>
          <w:sz w:val="24"/>
          <w:szCs w:val="24"/>
        </w:rPr>
        <w:t xml:space="preserve">IMPEL konference by se mělo zúčastnit 250 expertů ze sítě IMPEL, Evropské komise, Evropského parlamentu, nevládních organizací a průmyslu. Konference by měla rozšířit povědomí o práci síti IMPEL, zvláště výsledků z projektů. První den konference účastníky uvítá Leo </w:t>
      </w:r>
      <w:proofErr w:type="spellStart"/>
      <w:r>
        <w:rPr>
          <w:sz w:val="24"/>
          <w:szCs w:val="24"/>
        </w:rPr>
        <w:t>Brincat</w:t>
      </w:r>
      <w:proofErr w:type="spellEnd"/>
      <w:r>
        <w:rPr>
          <w:sz w:val="24"/>
          <w:szCs w:val="24"/>
        </w:rPr>
        <w:t>, ministr pro udržitelný rozvoj, životní prostředí a klimatické změny Malty, proběhnou prezentace o implementaci legislativy ochrany přírody a implementaci legislativy životního prostředí z pohledu Evropského parlamentu. Ministr životního prostředí Litvy bude prezentovat priority litevského předsednictví EK. Odpoledne proběhnou tři paralelní workshopy, a to „Praktické případové studie soudců“, Praktické případové studie státních zástupců“ a „Praktické případové studie ombudsmana.</w:t>
      </w:r>
    </w:p>
    <w:p w:rsidR="00583B6D" w:rsidRDefault="00583B6D" w:rsidP="00163B72">
      <w:pPr>
        <w:spacing w:line="240" w:lineRule="auto"/>
        <w:jc w:val="both"/>
        <w:rPr>
          <w:sz w:val="24"/>
          <w:szCs w:val="24"/>
        </w:rPr>
      </w:pPr>
      <w:r>
        <w:rPr>
          <w:sz w:val="24"/>
          <w:szCs w:val="24"/>
        </w:rPr>
        <w:t>Druhý den budou dopoledne probíhat 4 workshopy:</w:t>
      </w:r>
    </w:p>
    <w:p w:rsidR="00583B6D" w:rsidRDefault="00583B6D" w:rsidP="00163B72">
      <w:pPr>
        <w:pStyle w:val="Odstavecseseznamem"/>
        <w:numPr>
          <w:ilvl w:val="0"/>
          <w:numId w:val="17"/>
        </w:numPr>
        <w:spacing w:line="240" w:lineRule="auto"/>
        <w:jc w:val="both"/>
        <w:rPr>
          <w:sz w:val="24"/>
          <w:szCs w:val="24"/>
        </w:rPr>
      </w:pPr>
      <w:r>
        <w:rPr>
          <w:sz w:val="24"/>
          <w:szCs w:val="24"/>
        </w:rPr>
        <w:t>Shoda s legislativou a prosazování</w:t>
      </w:r>
    </w:p>
    <w:p w:rsidR="00583B6D" w:rsidRDefault="00583B6D" w:rsidP="00163B72">
      <w:pPr>
        <w:pStyle w:val="Odstavecseseznamem"/>
        <w:numPr>
          <w:ilvl w:val="0"/>
          <w:numId w:val="17"/>
        </w:numPr>
        <w:spacing w:line="240" w:lineRule="auto"/>
        <w:jc w:val="both"/>
        <w:rPr>
          <w:sz w:val="24"/>
          <w:szCs w:val="24"/>
        </w:rPr>
      </w:pPr>
      <w:r>
        <w:rPr>
          <w:sz w:val="24"/>
          <w:szCs w:val="24"/>
        </w:rPr>
        <w:t>Od odpadu ke zdroji</w:t>
      </w:r>
    </w:p>
    <w:p w:rsidR="00583B6D" w:rsidRDefault="00583B6D" w:rsidP="00163B72">
      <w:pPr>
        <w:pStyle w:val="Odstavecseseznamem"/>
        <w:numPr>
          <w:ilvl w:val="0"/>
          <w:numId w:val="17"/>
        </w:numPr>
        <w:spacing w:line="240" w:lineRule="auto"/>
        <w:jc w:val="both"/>
        <w:rPr>
          <w:sz w:val="24"/>
          <w:szCs w:val="24"/>
        </w:rPr>
      </w:pPr>
      <w:r>
        <w:rPr>
          <w:sz w:val="24"/>
          <w:szCs w:val="24"/>
        </w:rPr>
        <w:t>Směrnice o průmyslových emisích</w:t>
      </w:r>
    </w:p>
    <w:p w:rsidR="00583B6D" w:rsidRDefault="00583B6D" w:rsidP="00163B72">
      <w:pPr>
        <w:pStyle w:val="Odstavecseseznamem"/>
        <w:numPr>
          <w:ilvl w:val="0"/>
          <w:numId w:val="17"/>
        </w:numPr>
        <w:spacing w:line="240" w:lineRule="auto"/>
        <w:jc w:val="both"/>
        <w:rPr>
          <w:sz w:val="24"/>
          <w:szCs w:val="24"/>
        </w:rPr>
      </w:pPr>
      <w:r>
        <w:rPr>
          <w:sz w:val="24"/>
          <w:szCs w:val="24"/>
        </w:rPr>
        <w:t>Nové přístupy</w:t>
      </w:r>
    </w:p>
    <w:p w:rsidR="00583B6D" w:rsidRDefault="00583B6D" w:rsidP="00163B72">
      <w:pPr>
        <w:spacing w:line="240" w:lineRule="auto"/>
        <w:jc w:val="both"/>
        <w:rPr>
          <w:sz w:val="24"/>
          <w:szCs w:val="24"/>
        </w:rPr>
      </w:pPr>
      <w:r>
        <w:rPr>
          <w:sz w:val="24"/>
          <w:szCs w:val="24"/>
        </w:rPr>
        <w:t>Odpoledne to budou workshopy:</w:t>
      </w:r>
    </w:p>
    <w:p w:rsidR="00583B6D" w:rsidRDefault="00583B6D" w:rsidP="00163B72">
      <w:pPr>
        <w:pStyle w:val="Odstavecseseznamem"/>
        <w:numPr>
          <w:ilvl w:val="0"/>
          <w:numId w:val="18"/>
        </w:numPr>
        <w:spacing w:line="240" w:lineRule="auto"/>
        <w:jc w:val="both"/>
        <w:rPr>
          <w:sz w:val="24"/>
          <w:szCs w:val="24"/>
        </w:rPr>
      </w:pPr>
      <w:r>
        <w:rPr>
          <w:sz w:val="24"/>
          <w:szCs w:val="24"/>
        </w:rPr>
        <w:t>Spolupráce a koordinace</w:t>
      </w:r>
    </w:p>
    <w:p w:rsidR="00583B6D" w:rsidRDefault="00583B6D" w:rsidP="00163B72">
      <w:pPr>
        <w:pStyle w:val="Odstavecseseznamem"/>
        <w:numPr>
          <w:ilvl w:val="0"/>
          <w:numId w:val="18"/>
        </w:numPr>
        <w:spacing w:line="240" w:lineRule="auto"/>
        <w:jc w:val="both"/>
        <w:rPr>
          <w:sz w:val="24"/>
          <w:szCs w:val="24"/>
        </w:rPr>
      </w:pPr>
      <w:r>
        <w:rPr>
          <w:sz w:val="24"/>
          <w:szCs w:val="24"/>
        </w:rPr>
        <w:t>Příroda a voda</w:t>
      </w:r>
    </w:p>
    <w:p w:rsidR="00583B6D" w:rsidRDefault="00583B6D" w:rsidP="00163B72">
      <w:pPr>
        <w:pStyle w:val="Odstavecseseznamem"/>
        <w:numPr>
          <w:ilvl w:val="0"/>
          <w:numId w:val="18"/>
        </w:numPr>
        <w:spacing w:line="240" w:lineRule="auto"/>
        <w:jc w:val="both"/>
        <w:rPr>
          <w:sz w:val="24"/>
          <w:szCs w:val="24"/>
        </w:rPr>
      </w:pPr>
      <w:r>
        <w:rPr>
          <w:sz w:val="24"/>
          <w:szCs w:val="24"/>
        </w:rPr>
        <w:t>Budování kapacit</w:t>
      </w:r>
    </w:p>
    <w:p w:rsidR="00583B6D" w:rsidRDefault="00583B6D" w:rsidP="00163B72">
      <w:pPr>
        <w:pStyle w:val="Odstavecseseznamem"/>
        <w:numPr>
          <w:ilvl w:val="0"/>
          <w:numId w:val="18"/>
        </w:numPr>
        <w:spacing w:line="240" w:lineRule="auto"/>
        <w:jc w:val="both"/>
        <w:rPr>
          <w:sz w:val="24"/>
          <w:szCs w:val="24"/>
        </w:rPr>
      </w:pPr>
      <w:r>
        <w:rPr>
          <w:sz w:val="24"/>
          <w:szCs w:val="24"/>
        </w:rPr>
        <w:t>Výzvy v implementaci, případové studie v oblasti ochrany ovzduší a ochrany půdy</w:t>
      </w:r>
    </w:p>
    <w:p w:rsidR="00C25B30" w:rsidRDefault="00163B72" w:rsidP="00163B72">
      <w:pPr>
        <w:spacing w:line="240" w:lineRule="auto"/>
        <w:jc w:val="both"/>
        <w:rPr>
          <w:sz w:val="24"/>
          <w:szCs w:val="24"/>
        </w:rPr>
      </w:pPr>
      <w:r>
        <w:rPr>
          <w:sz w:val="24"/>
          <w:szCs w:val="24"/>
        </w:rPr>
        <w:t xml:space="preserve">Třetí den konference proběhnou prezentace o zajištění souladu s legislativou u malých zařízení, o zelené ekonomice, strategii pro zelenou ekonomiku UNEP a </w:t>
      </w:r>
      <w:r w:rsidR="005135C2">
        <w:rPr>
          <w:sz w:val="24"/>
          <w:szCs w:val="24"/>
        </w:rPr>
        <w:t>l</w:t>
      </w:r>
      <w:r>
        <w:rPr>
          <w:sz w:val="24"/>
          <w:szCs w:val="24"/>
        </w:rPr>
        <w:t>egislativa a inovace v Nizozemí.</w:t>
      </w:r>
    </w:p>
    <w:p w:rsidR="00163B72" w:rsidRDefault="00163B72" w:rsidP="00163B72">
      <w:pPr>
        <w:spacing w:line="240" w:lineRule="auto"/>
        <w:jc w:val="both"/>
        <w:rPr>
          <w:sz w:val="24"/>
          <w:szCs w:val="24"/>
        </w:rPr>
      </w:pPr>
    </w:p>
    <w:p w:rsidR="00C25B30" w:rsidRPr="005059FD" w:rsidRDefault="00C25B30" w:rsidP="00C25B30">
      <w:pPr>
        <w:spacing w:line="240" w:lineRule="auto"/>
        <w:jc w:val="both"/>
        <w:rPr>
          <w:rFonts w:ascii="Times New Roman" w:hAnsi="Times New Roman" w:cs="Times New Roman"/>
          <w:b/>
          <w:sz w:val="28"/>
          <w:szCs w:val="28"/>
        </w:rPr>
      </w:pPr>
      <w:r w:rsidRPr="005059FD">
        <w:rPr>
          <w:rFonts w:ascii="Times New Roman" w:hAnsi="Times New Roman" w:cs="Times New Roman"/>
          <w:b/>
          <w:sz w:val="28"/>
          <w:szCs w:val="28"/>
        </w:rPr>
        <w:t>Informace o projektu IED/IRAM – Helena Nekolová</w:t>
      </w:r>
    </w:p>
    <w:p w:rsidR="00C25B30" w:rsidRPr="00C25B30" w:rsidRDefault="00C25B30" w:rsidP="00C25B30">
      <w:pPr>
        <w:spacing w:line="240" w:lineRule="auto"/>
        <w:jc w:val="both"/>
        <w:rPr>
          <w:rFonts w:ascii="Times New Roman" w:hAnsi="Times New Roman" w:cs="Times New Roman"/>
          <w:sz w:val="24"/>
          <w:szCs w:val="24"/>
        </w:rPr>
      </w:pPr>
      <w:r w:rsidRPr="00C25B30">
        <w:rPr>
          <w:rFonts w:ascii="Times New Roman" w:hAnsi="Times New Roman" w:cs="Times New Roman"/>
          <w:sz w:val="24"/>
          <w:szCs w:val="24"/>
        </w:rPr>
        <w:t>Cíle projektu:</w:t>
      </w:r>
    </w:p>
    <w:p w:rsidR="00C25B30" w:rsidRPr="00C25B30" w:rsidRDefault="00C25B30" w:rsidP="00C25B30">
      <w:pPr>
        <w:pStyle w:val="Odstavecseseznamem"/>
        <w:numPr>
          <w:ilvl w:val="1"/>
          <w:numId w:val="10"/>
        </w:numPr>
        <w:spacing w:line="240" w:lineRule="auto"/>
        <w:jc w:val="both"/>
        <w:rPr>
          <w:rFonts w:ascii="Times New Roman" w:hAnsi="Times New Roman" w:cs="Times New Roman"/>
          <w:sz w:val="24"/>
          <w:szCs w:val="24"/>
        </w:rPr>
      </w:pPr>
      <w:r w:rsidRPr="00C25B30">
        <w:rPr>
          <w:rFonts w:ascii="Times New Roman" w:hAnsi="Times New Roman" w:cs="Times New Roman"/>
          <w:sz w:val="24"/>
          <w:szCs w:val="24"/>
        </w:rPr>
        <w:t>Vývoj programu kontrol podle směrnice o průmyslových emisích (IED)</w:t>
      </w:r>
    </w:p>
    <w:p w:rsidR="00C25B30" w:rsidRPr="00C25B30" w:rsidRDefault="00C25B30" w:rsidP="00C25B30">
      <w:pPr>
        <w:pStyle w:val="Odstavecseseznamem"/>
        <w:numPr>
          <w:ilvl w:val="1"/>
          <w:numId w:val="10"/>
        </w:numPr>
        <w:spacing w:line="240" w:lineRule="auto"/>
        <w:jc w:val="both"/>
        <w:rPr>
          <w:rFonts w:ascii="Times New Roman" w:hAnsi="Times New Roman" w:cs="Times New Roman"/>
          <w:sz w:val="24"/>
          <w:szCs w:val="24"/>
        </w:rPr>
      </w:pPr>
      <w:r w:rsidRPr="00C25B30">
        <w:rPr>
          <w:rFonts w:ascii="Times New Roman" w:hAnsi="Times New Roman" w:cs="Times New Roman"/>
          <w:sz w:val="24"/>
          <w:szCs w:val="24"/>
        </w:rPr>
        <w:t>Plán počítačového nástroje pro zpracování programu inspekcí s využitím dat z metody integrovaného hodnocení rizik</w:t>
      </w:r>
    </w:p>
    <w:p w:rsidR="00C25B30" w:rsidRPr="00C25B30" w:rsidRDefault="00C25B30" w:rsidP="00C25B30">
      <w:pPr>
        <w:pStyle w:val="Odstavecseseznamem"/>
        <w:numPr>
          <w:ilvl w:val="1"/>
          <w:numId w:val="10"/>
        </w:numPr>
        <w:spacing w:line="240" w:lineRule="auto"/>
        <w:jc w:val="both"/>
        <w:rPr>
          <w:rFonts w:ascii="Times New Roman" w:hAnsi="Times New Roman" w:cs="Times New Roman"/>
          <w:sz w:val="24"/>
          <w:szCs w:val="24"/>
        </w:rPr>
      </w:pPr>
      <w:r w:rsidRPr="00C25B30">
        <w:rPr>
          <w:rFonts w:ascii="Times New Roman" w:hAnsi="Times New Roman" w:cs="Times New Roman"/>
          <w:sz w:val="24"/>
          <w:szCs w:val="24"/>
        </w:rPr>
        <w:t>Zahájení vývoje nástroje</w:t>
      </w:r>
    </w:p>
    <w:p w:rsidR="00C25B30" w:rsidRDefault="00C25B30" w:rsidP="00C25B30">
      <w:pPr>
        <w:pStyle w:val="Odstavecseseznamem"/>
        <w:numPr>
          <w:ilvl w:val="1"/>
          <w:numId w:val="10"/>
        </w:numPr>
        <w:spacing w:line="240" w:lineRule="auto"/>
        <w:jc w:val="both"/>
        <w:rPr>
          <w:rFonts w:ascii="Times New Roman" w:hAnsi="Times New Roman" w:cs="Times New Roman"/>
          <w:sz w:val="24"/>
          <w:szCs w:val="24"/>
        </w:rPr>
      </w:pPr>
      <w:r w:rsidRPr="00C25B30">
        <w:rPr>
          <w:rFonts w:ascii="Times New Roman" w:hAnsi="Times New Roman" w:cs="Times New Roman"/>
          <w:sz w:val="24"/>
          <w:szCs w:val="24"/>
        </w:rPr>
        <w:lastRenderedPageBreak/>
        <w:t xml:space="preserve">Workshop v návaznosti na konferenci sítě IMPEL </w:t>
      </w:r>
    </w:p>
    <w:p w:rsidR="00C25B30" w:rsidRDefault="00C25B30" w:rsidP="00C25B3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Účastníci projektu měli možnost si vyzkoušet funkci programu na plánování kontrol, který vychází z hodnocení rizikovosti zařízení pomocí metodiky IRAM. Tato metodika se používá pro výpočet termínu konání nové kontroly na zařízeních s integrovaným povolením, ale lze ji použít i pro plánování kontrol v dalších oblastech (SEVESO, GMO </w:t>
      </w:r>
      <w:proofErr w:type="gramStart"/>
      <w:r>
        <w:rPr>
          <w:rFonts w:ascii="Times New Roman" w:hAnsi="Times New Roman" w:cs="Times New Roman"/>
          <w:sz w:val="24"/>
          <w:szCs w:val="24"/>
        </w:rPr>
        <w:t>…..).</w:t>
      </w:r>
      <w:r w:rsidR="005059FD">
        <w:rPr>
          <w:rFonts w:ascii="Times New Roman" w:hAnsi="Times New Roman" w:cs="Times New Roman"/>
          <w:sz w:val="24"/>
          <w:szCs w:val="24"/>
        </w:rPr>
        <w:t xml:space="preserve"> </w:t>
      </w:r>
      <w:r>
        <w:rPr>
          <w:rFonts w:ascii="Times New Roman" w:hAnsi="Times New Roman" w:cs="Times New Roman"/>
          <w:sz w:val="24"/>
          <w:szCs w:val="24"/>
        </w:rPr>
        <w:t>Po</w:t>
      </w:r>
      <w:proofErr w:type="gramEnd"/>
      <w:r>
        <w:rPr>
          <w:rFonts w:ascii="Times New Roman" w:hAnsi="Times New Roman" w:cs="Times New Roman"/>
          <w:sz w:val="24"/>
          <w:szCs w:val="24"/>
        </w:rPr>
        <w:t xml:space="preserve"> provedení kontroly se znovu pro zařízení hodnotí rizika.</w:t>
      </w:r>
      <w:r w:rsidR="005059FD">
        <w:rPr>
          <w:rFonts w:ascii="Times New Roman" w:hAnsi="Times New Roman" w:cs="Times New Roman"/>
          <w:sz w:val="24"/>
          <w:szCs w:val="24"/>
        </w:rPr>
        <w:t xml:space="preserve"> </w:t>
      </w:r>
      <w:r>
        <w:rPr>
          <w:rFonts w:ascii="Times New Roman" w:hAnsi="Times New Roman" w:cs="Times New Roman"/>
          <w:sz w:val="24"/>
          <w:szCs w:val="24"/>
        </w:rPr>
        <w:t>Návrh fungování programu</w:t>
      </w:r>
      <w:r w:rsidR="005059FD">
        <w:rPr>
          <w:rFonts w:ascii="Times New Roman" w:hAnsi="Times New Roman" w:cs="Times New Roman"/>
          <w:sz w:val="24"/>
          <w:szCs w:val="24"/>
        </w:rPr>
        <w:t xml:space="preserve"> by měl vymezit úlohu pracovníků v různém pracovním zařazení (inspektor, koordinátor). Nové hodnocení rizika pro jednotlivá zařízení vychází jednak ze zjištění při kontrolách, jednak z provedených změn IP. Hodnocení rizik by mělo být prováděno z praktických důvodů na konci roku, aby sloužilo pro přípravu plánu a inspekčních programů na nový rok. Německé ministerstvo přislíbilo, že poskytne finanční prostředky na vývoj programu.</w:t>
      </w:r>
    </w:p>
    <w:p w:rsidR="005059FD" w:rsidRDefault="005059FD" w:rsidP="00C25B30">
      <w:pPr>
        <w:spacing w:line="240" w:lineRule="auto"/>
        <w:jc w:val="both"/>
        <w:rPr>
          <w:rFonts w:ascii="Times New Roman" w:hAnsi="Times New Roman" w:cs="Times New Roman"/>
          <w:sz w:val="24"/>
          <w:szCs w:val="24"/>
        </w:rPr>
      </w:pPr>
      <w:r>
        <w:rPr>
          <w:rFonts w:ascii="Times New Roman" w:hAnsi="Times New Roman" w:cs="Times New Roman"/>
          <w:sz w:val="24"/>
          <w:szCs w:val="24"/>
        </w:rPr>
        <w:t>Zástupce Belgie prezentovali svůj systém plánování kontrol CIPRES, velmi sofistikovaný přístup k plánování, určený jen pro běžné kontroly na zařízeních s IP. Belgický i</w:t>
      </w:r>
      <w:r w:rsidR="0036032C">
        <w:rPr>
          <w:rFonts w:ascii="Times New Roman" w:hAnsi="Times New Roman" w:cs="Times New Roman"/>
          <w:sz w:val="24"/>
          <w:szCs w:val="24"/>
        </w:rPr>
        <w:t>ns</w:t>
      </w:r>
      <w:r>
        <w:rPr>
          <w:rFonts w:ascii="Times New Roman" w:hAnsi="Times New Roman" w:cs="Times New Roman"/>
          <w:sz w:val="24"/>
          <w:szCs w:val="24"/>
        </w:rPr>
        <w:t xml:space="preserve">pekční orgán provádí celkem 43 typů kontrol. Priority musí být nastaveny podle rizikovosti zařízení ve vztahu k jednotlivým složkám životního prostředí. </w:t>
      </w:r>
    </w:p>
    <w:p w:rsidR="0036032C" w:rsidRDefault="005059FD" w:rsidP="00C25B30">
      <w:pPr>
        <w:spacing w:line="240" w:lineRule="auto"/>
        <w:jc w:val="both"/>
        <w:rPr>
          <w:rFonts w:ascii="Times New Roman" w:hAnsi="Times New Roman" w:cs="Times New Roman"/>
          <w:sz w:val="24"/>
          <w:szCs w:val="24"/>
        </w:rPr>
      </w:pPr>
      <w:r>
        <w:rPr>
          <w:rFonts w:ascii="Times New Roman" w:hAnsi="Times New Roman" w:cs="Times New Roman"/>
          <w:sz w:val="24"/>
          <w:szCs w:val="24"/>
        </w:rPr>
        <w:t>Dále proběhla diskuse o vybraných částech návrhu fungování programu. Inspekční orgán se musí rozhodnout, na jakém základě bude plánovat svoji činnost. Prioritou je, aby bylo ŽP bezpečné pro lidi, druhou otázkou je četnost frekvence kontrol v zařízeních (podle hodnocení rizik).</w:t>
      </w:r>
      <w:r w:rsidR="00163B72">
        <w:rPr>
          <w:rFonts w:ascii="Times New Roman" w:hAnsi="Times New Roman" w:cs="Times New Roman"/>
          <w:sz w:val="24"/>
          <w:szCs w:val="24"/>
        </w:rPr>
        <w:t xml:space="preserve"> </w:t>
      </w:r>
      <w:r w:rsidR="0036032C">
        <w:rPr>
          <w:rFonts w:ascii="Times New Roman" w:hAnsi="Times New Roman" w:cs="Times New Roman"/>
          <w:sz w:val="24"/>
          <w:szCs w:val="24"/>
        </w:rPr>
        <w:t xml:space="preserve">Nebylo možné plně pochopit principy a fungování metody IRAM na workshopu, který se konal v listopadu 2011, a tak i po připravovaném workshopu na Maltě v říjnu 2013 bude potřeba se zabývat šířením informací programu. Vedoucí projektu jako příklad uvedl Rakousko, jehož ministerstvo má zájem na užívání IRAM pro hodnocení rizik, a tak vyčlenilo potřebné finanční prostředky a proběhlo již proškolení pracovníků, kteří budou metodu IRAM používat při práci. Proškolení pracovníků je možné i v dalších členských zemích IMPEL, ale každý stát si proškolení musí zaplatit z vlastních prostředků. </w:t>
      </w:r>
    </w:p>
    <w:p w:rsidR="00163B72" w:rsidRDefault="00163B72" w:rsidP="00C25B30">
      <w:pPr>
        <w:spacing w:line="240" w:lineRule="auto"/>
        <w:jc w:val="both"/>
        <w:rPr>
          <w:rFonts w:ascii="Times New Roman" w:hAnsi="Times New Roman" w:cs="Times New Roman"/>
          <w:b/>
          <w:sz w:val="28"/>
          <w:szCs w:val="28"/>
        </w:rPr>
      </w:pPr>
      <w:r w:rsidRPr="00163B72">
        <w:rPr>
          <w:rFonts w:ascii="Times New Roman" w:hAnsi="Times New Roman" w:cs="Times New Roman"/>
          <w:b/>
          <w:sz w:val="28"/>
          <w:szCs w:val="28"/>
        </w:rPr>
        <w:t>Informace o výroční konferenci IMPEL TFS v Utrechtu, RNDr. Jitka Jenšovská</w:t>
      </w:r>
    </w:p>
    <w:p w:rsidR="00163B72" w:rsidRDefault="00163B72" w:rsidP="00C25B30">
      <w:pPr>
        <w:spacing w:line="240" w:lineRule="auto"/>
        <w:jc w:val="both"/>
        <w:rPr>
          <w:rFonts w:ascii="Times New Roman" w:hAnsi="Times New Roman" w:cs="Times New Roman"/>
          <w:sz w:val="24"/>
          <w:szCs w:val="24"/>
        </w:rPr>
      </w:pPr>
      <w:r w:rsidRPr="00163B72">
        <w:rPr>
          <w:rFonts w:ascii="Times New Roman" w:hAnsi="Times New Roman" w:cs="Times New Roman"/>
          <w:sz w:val="24"/>
          <w:szCs w:val="24"/>
        </w:rPr>
        <w:t xml:space="preserve">Konference se konala ve dnech </w:t>
      </w:r>
      <w:proofErr w:type="gramStart"/>
      <w:r w:rsidRPr="00163B72">
        <w:rPr>
          <w:rFonts w:ascii="Times New Roman" w:hAnsi="Times New Roman" w:cs="Times New Roman"/>
          <w:sz w:val="24"/>
          <w:szCs w:val="24"/>
        </w:rPr>
        <w:t>18.6</w:t>
      </w:r>
      <w:proofErr w:type="gramEnd"/>
      <w:r w:rsidRPr="00163B72">
        <w:rPr>
          <w:rFonts w:ascii="Times New Roman" w:hAnsi="Times New Roman" w:cs="Times New Roman"/>
          <w:sz w:val="24"/>
          <w:szCs w:val="24"/>
        </w:rPr>
        <w:t>. – 20.6.2013 v</w:t>
      </w:r>
      <w:r>
        <w:rPr>
          <w:rFonts w:ascii="Times New Roman" w:hAnsi="Times New Roman" w:cs="Times New Roman"/>
          <w:sz w:val="24"/>
          <w:szCs w:val="24"/>
        </w:rPr>
        <w:t xml:space="preserve"> Utrechtu a zúčastnilo se jí 80 expertů z 26 zemí. V rámci </w:t>
      </w:r>
      <w:proofErr w:type="spellStart"/>
      <w:r w:rsidR="0089055E">
        <w:rPr>
          <w:rFonts w:ascii="Times New Roman" w:hAnsi="Times New Roman" w:cs="Times New Roman"/>
          <w:sz w:val="24"/>
          <w:szCs w:val="24"/>
        </w:rPr>
        <w:t>prosazovacích</w:t>
      </w:r>
      <w:proofErr w:type="spellEnd"/>
      <w:r w:rsidR="0089055E">
        <w:rPr>
          <w:rFonts w:ascii="Times New Roman" w:hAnsi="Times New Roman" w:cs="Times New Roman"/>
          <w:sz w:val="24"/>
          <w:szCs w:val="24"/>
        </w:rPr>
        <w:t xml:space="preserve"> akcí III byl podán přehled akcí od minulého setkání a vyhodnocení akt</w:t>
      </w:r>
      <w:r w:rsidR="00063B94">
        <w:rPr>
          <w:rFonts w:ascii="Times New Roman" w:hAnsi="Times New Roman" w:cs="Times New Roman"/>
          <w:sz w:val="24"/>
          <w:szCs w:val="24"/>
        </w:rPr>
        <w:t xml:space="preserve">ivit za rok 2012. Probíhaly diskuse v podskupinách o repatriaci, jednotném vyplňování formulářů, kontroly nakládky odpadu před odesláním, komunikaci a kontrolách ve velkých přístavech. Proběhly prezentace o závěrech konference Basilejské úmluvy, aktivitách EK, monitorování nakládání s odpady z vesmíru, setkání veřejných žalobců, studie z 8 zemí o prosazování nařízení o přepravě odpadů a o </w:t>
      </w:r>
      <w:proofErr w:type="spellStart"/>
      <w:r w:rsidR="00063B94">
        <w:rPr>
          <w:rFonts w:ascii="Times New Roman" w:hAnsi="Times New Roman" w:cs="Times New Roman"/>
          <w:sz w:val="24"/>
          <w:szCs w:val="24"/>
        </w:rPr>
        <w:t>prosazovacích</w:t>
      </w:r>
      <w:proofErr w:type="spellEnd"/>
      <w:r w:rsidR="00063B94">
        <w:rPr>
          <w:rFonts w:ascii="Times New Roman" w:hAnsi="Times New Roman" w:cs="Times New Roman"/>
          <w:sz w:val="24"/>
          <w:szCs w:val="24"/>
        </w:rPr>
        <w:t xml:space="preserve"> akcích III. Dále proběhla diskuse o budoucnosti clusteru TFS, zda je možné rozšířit „sféru zájmu“ o další technické složky a díky tomu bude nutné přizvat další odborníky z těchto oblastí. Jak vylepši komunikaci na národní a mezinárodní úrovni, o sociálních dopadech nelegální přeshraniční přepravy odpadů a hodnocení dopadu změn legislativy jednoho státu na okolní země.</w:t>
      </w:r>
    </w:p>
    <w:p w:rsidR="001B205B" w:rsidRDefault="001B205B" w:rsidP="00C25B30">
      <w:pPr>
        <w:spacing w:line="240" w:lineRule="auto"/>
        <w:jc w:val="both"/>
        <w:rPr>
          <w:rFonts w:ascii="Times New Roman" w:hAnsi="Times New Roman" w:cs="Times New Roman"/>
          <w:sz w:val="24"/>
          <w:szCs w:val="24"/>
        </w:rPr>
      </w:pPr>
    </w:p>
    <w:p w:rsidR="001B205B" w:rsidRDefault="001B205B" w:rsidP="00C25B30">
      <w:pPr>
        <w:spacing w:line="240" w:lineRule="auto"/>
        <w:jc w:val="both"/>
        <w:rPr>
          <w:rFonts w:ascii="Times New Roman" w:hAnsi="Times New Roman" w:cs="Times New Roman"/>
          <w:b/>
          <w:sz w:val="28"/>
          <w:szCs w:val="28"/>
        </w:rPr>
      </w:pPr>
      <w:r w:rsidRPr="001B205B">
        <w:rPr>
          <w:rFonts w:ascii="Times New Roman" w:hAnsi="Times New Roman" w:cs="Times New Roman"/>
          <w:b/>
          <w:sz w:val="28"/>
          <w:szCs w:val="28"/>
        </w:rPr>
        <w:t>Problematika REACH, 15. Fórum ECHA, Martin Marko</w:t>
      </w:r>
    </w:p>
    <w:p w:rsidR="001B205B" w:rsidRPr="001B205B" w:rsidRDefault="001B205B" w:rsidP="00C25B30">
      <w:pPr>
        <w:spacing w:line="240" w:lineRule="auto"/>
        <w:jc w:val="both"/>
        <w:rPr>
          <w:rFonts w:ascii="Times New Roman" w:hAnsi="Times New Roman" w:cs="Times New Roman"/>
          <w:sz w:val="24"/>
          <w:szCs w:val="24"/>
        </w:rPr>
      </w:pPr>
      <w:r>
        <w:rPr>
          <w:rFonts w:ascii="Times New Roman" w:hAnsi="Times New Roman" w:cs="Times New Roman"/>
          <w:sz w:val="24"/>
          <w:szCs w:val="24"/>
        </w:rPr>
        <w:t>ČIZP s</w:t>
      </w:r>
      <w:r w:rsidR="005135C2">
        <w:rPr>
          <w:rFonts w:ascii="Times New Roman" w:hAnsi="Times New Roman" w:cs="Times New Roman"/>
          <w:sz w:val="24"/>
          <w:szCs w:val="24"/>
        </w:rPr>
        <w:t>e</w:t>
      </w:r>
      <w:r>
        <w:rPr>
          <w:rFonts w:ascii="Times New Roman" w:hAnsi="Times New Roman" w:cs="Times New Roman"/>
          <w:sz w:val="24"/>
          <w:szCs w:val="24"/>
        </w:rPr>
        <w:t xml:space="preserve"> účastní projektu REF3 od 15. Dubna 2013. V první fázi projektu proběhla kontrola </w:t>
      </w:r>
      <w:proofErr w:type="spellStart"/>
      <w:r>
        <w:rPr>
          <w:rFonts w:ascii="Times New Roman" w:hAnsi="Times New Roman" w:cs="Times New Roman"/>
          <w:sz w:val="24"/>
          <w:szCs w:val="24"/>
        </w:rPr>
        <w:t>předregistrací</w:t>
      </w:r>
      <w:proofErr w:type="spellEnd"/>
      <w:r>
        <w:rPr>
          <w:rFonts w:ascii="Times New Roman" w:hAnsi="Times New Roman" w:cs="Times New Roman"/>
          <w:sz w:val="24"/>
          <w:szCs w:val="24"/>
        </w:rPr>
        <w:t xml:space="preserve"> a registrací chemických látek u výrobců, dovozců, následných uživatelů a výhradních zástupců. Na fóru bylo navrženo prodloužit operační fázi projektu REF3 v termínu únor – listopad 2014. Cílem kontrol v druhé fázi projektu bude pokračování </w:t>
      </w:r>
      <w:r>
        <w:rPr>
          <w:rFonts w:ascii="Times New Roman" w:hAnsi="Times New Roman" w:cs="Times New Roman"/>
          <w:sz w:val="24"/>
          <w:szCs w:val="24"/>
        </w:rPr>
        <w:lastRenderedPageBreak/>
        <w:t xml:space="preserve">v kontrolách jako v 1. fázi projektu a kontroly registrací látek nad 100t/rok. Závěrečná zpráva projektu REF3 za obě fáze bude prezentována v červnu 2015. Dále byla otevřena problematika překladů rozhodnutí, případně jejich částí agenturou ECHA, deset z dvanácti členů uvedlo nutnost mít překlady rozhodnutí ECHA do národního jazyka. ECHA vydává rozhodnutí v jazyce, ve kterém byla vytvořena registrační dokumentace a přesný postup v poskytování překladů rozhodnutí ECHA není stanoven. Názor Evropské komise (nařízení EHS č. 1/1958 o užívání jazyku v Evropském hospodářském společenství) je odlišný. </w:t>
      </w:r>
      <w:r w:rsidR="00FB031E">
        <w:rPr>
          <w:rFonts w:ascii="Times New Roman" w:hAnsi="Times New Roman" w:cs="Times New Roman"/>
          <w:sz w:val="24"/>
          <w:szCs w:val="24"/>
        </w:rPr>
        <w:t xml:space="preserve">Bylo dohodnuto, že ECHA bude poskytovat překlady </w:t>
      </w:r>
      <w:proofErr w:type="gramStart"/>
      <w:r w:rsidR="00FB031E">
        <w:rPr>
          <w:rFonts w:ascii="Times New Roman" w:hAnsi="Times New Roman" w:cs="Times New Roman"/>
          <w:sz w:val="24"/>
          <w:szCs w:val="24"/>
        </w:rPr>
        <w:t xml:space="preserve">rozhodnutí ( </w:t>
      </w:r>
      <w:proofErr w:type="spellStart"/>
      <w:r w:rsidR="00FB031E">
        <w:rPr>
          <w:rFonts w:ascii="Times New Roman" w:hAnsi="Times New Roman" w:cs="Times New Roman"/>
          <w:sz w:val="24"/>
          <w:szCs w:val="24"/>
        </w:rPr>
        <w:t>Statement</w:t>
      </w:r>
      <w:proofErr w:type="spellEnd"/>
      <w:proofErr w:type="gramEnd"/>
      <w:r w:rsidR="00FB031E">
        <w:rPr>
          <w:rFonts w:ascii="Times New Roman" w:hAnsi="Times New Roman" w:cs="Times New Roman"/>
          <w:sz w:val="24"/>
          <w:szCs w:val="24"/>
        </w:rPr>
        <w:t xml:space="preserve"> </w:t>
      </w:r>
      <w:proofErr w:type="spellStart"/>
      <w:r w:rsidR="00FB031E">
        <w:rPr>
          <w:rFonts w:ascii="Times New Roman" w:hAnsi="Times New Roman" w:cs="Times New Roman"/>
          <w:sz w:val="24"/>
          <w:szCs w:val="24"/>
        </w:rPr>
        <w:t>of</w:t>
      </w:r>
      <w:proofErr w:type="spellEnd"/>
      <w:r w:rsidR="00FB031E">
        <w:rPr>
          <w:rFonts w:ascii="Times New Roman" w:hAnsi="Times New Roman" w:cs="Times New Roman"/>
          <w:sz w:val="24"/>
          <w:szCs w:val="24"/>
        </w:rPr>
        <w:t xml:space="preserve"> non </w:t>
      </w:r>
      <w:proofErr w:type="spellStart"/>
      <w:r w:rsidR="00FB031E">
        <w:rPr>
          <w:rFonts w:ascii="Times New Roman" w:hAnsi="Times New Roman" w:cs="Times New Roman"/>
          <w:sz w:val="24"/>
          <w:szCs w:val="24"/>
        </w:rPr>
        <w:t>compliance</w:t>
      </w:r>
      <w:proofErr w:type="spellEnd"/>
      <w:r w:rsidR="00FB031E">
        <w:rPr>
          <w:rFonts w:ascii="Times New Roman" w:hAnsi="Times New Roman" w:cs="Times New Roman"/>
          <w:sz w:val="24"/>
          <w:szCs w:val="24"/>
        </w:rPr>
        <w:t xml:space="preserve"> – Prohlášení o nesouladu) v odůvodněných případech. Druhá vlna registrací </w:t>
      </w:r>
      <w:proofErr w:type="gramStart"/>
      <w:r w:rsidR="00FB031E">
        <w:rPr>
          <w:rFonts w:ascii="Times New Roman" w:hAnsi="Times New Roman" w:cs="Times New Roman"/>
          <w:sz w:val="24"/>
          <w:szCs w:val="24"/>
        </w:rPr>
        <w:t xml:space="preserve">proběhla </w:t>
      </w:r>
      <w:r w:rsidR="00DB66E4">
        <w:rPr>
          <w:rFonts w:ascii="Times New Roman" w:hAnsi="Times New Roman" w:cs="Times New Roman"/>
          <w:sz w:val="24"/>
          <w:szCs w:val="24"/>
        </w:rPr>
        <w:t xml:space="preserve">               </w:t>
      </w:r>
      <w:r w:rsidR="00FB031E">
        <w:rPr>
          <w:rFonts w:ascii="Times New Roman" w:hAnsi="Times New Roman" w:cs="Times New Roman"/>
          <w:sz w:val="24"/>
          <w:szCs w:val="24"/>
        </w:rPr>
        <w:t>do</w:t>
      </w:r>
      <w:proofErr w:type="gramEnd"/>
      <w:r w:rsidR="005135C2">
        <w:rPr>
          <w:rFonts w:ascii="Times New Roman" w:hAnsi="Times New Roman" w:cs="Times New Roman"/>
          <w:sz w:val="24"/>
          <w:szCs w:val="24"/>
        </w:rPr>
        <w:t xml:space="preserve">  </w:t>
      </w:r>
      <w:r w:rsidR="00FB031E">
        <w:rPr>
          <w:rFonts w:ascii="Times New Roman" w:hAnsi="Times New Roman" w:cs="Times New Roman"/>
          <w:sz w:val="24"/>
          <w:szCs w:val="24"/>
        </w:rPr>
        <w:t xml:space="preserve">31. </w:t>
      </w:r>
      <w:r w:rsidR="005135C2">
        <w:rPr>
          <w:rFonts w:ascii="Times New Roman" w:hAnsi="Times New Roman" w:cs="Times New Roman"/>
          <w:sz w:val="24"/>
          <w:szCs w:val="24"/>
        </w:rPr>
        <w:t>k</w:t>
      </w:r>
      <w:r w:rsidR="00FB031E">
        <w:rPr>
          <w:rFonts w:ascii="Times New Roman" w:hAnsi="Times New Roman" w:cs="Times New Roman"/>
          <w:sz w:val="24"/>
          <w:szCs w:val="24"/>
        </w:rPr>
        <w:t xml:space="preserve">větna 2013 a jednalo se o registrace látek vyráběných nebo dovážených v množství </w:t>
      </w:r>
      <w:r w:rsidR="00DB66E4">
        <w:rPr>
          <w:rFonts w:ascii="Times New Roman" w:hAnsi="Times New Roman" w:cs="Times New Roman"/>
          <w:sz w:val="24"/>
          <w:szCs w:val="24"/>
        </w:rPr>
        <w:t xml:space="preserve">     </w:t>
      </w:r>
      <w:r w:rsidR="00FB031E">
        <w:rPr>
          <w:rFonts w:ascii="Times New Roman" w:hAnsi="Times New Roman" w:cs="Times New Roman"/>
          <w:sz w:val="24"/>
          <w:szCs w:val="24"/>
        </w:rPr>
        <w:t>1 – 100 tun za rok. V roce 2013 bylo podáno 9 084 registrací (</w:t>
      </w:r>
      <w:proofErr w:type="spellStart"/>
      <w:r w:rsidR="00FB031E">
        <w:rPr>
          <w:rFonts w:ascii="Times New Roman" w:hAnsi="Times New Roman" w:cs="Times New Roman"/>
          <w:sz w:val="24"/>
          <w:szCs w:val="24"/>
        </w:rPr>
        <w:t>dossier</w:t>
      </w:r>
      <w:proofErr w:type="spellEnd"/>
      <w:r w:rsidR="00FB031E">
        <w:rPr>
          <w:rFonts w:ascii="Times New Roman" w:hAnsi="Times New Roman" w:cs="Times New Roman"/>
          <w:sz w:val="24"/>
          <w:szCs w:val="24"/>
        </w:rPr>
        <w:t>), které se týkaly 2 923 látek. Pro sr</w:t>
      </w:r>
      <w:r w:rsidR="00032594">
        <w:rPr>
          <w:rFonts w:ascii="Times New Roman" w:hAnsi="Times New Roman" w:cs="Times New Roman"/>
          <w:sz w:val="24"/>
          <w:szCs w:val="24"/>
        </w:rPr>
        <w:t>o</w:t>
      </w:r>
      <w:r w:rsidR="00FB031E">
        <w:rPr>
          <w:rFonts w:ascii="Times New Roman" w:hAnsi="Times New Roman" w:cs="Times New Roman"/>
          <w:sz w:val="24"/>
          <w:szCs w:val="24"/>
        </w:rPr>
        <w:t>vnání v roce 2010 bylo podáno 20</w:t>
      </w:r>
      <w:r w:rsidR="005135C2">
        <w:rPr>
          <w:rFonts w:ascii="Times New Roman" w:hAnsi="Times New Roman" w:cs="Times New Roman"/>
          <w:sz w:val="24"/>
          <w:szCs w:val="24"/>
        </w:rPr>
        <w:t xml:space="preserve"> </w:t>
      </w:r>
      <w:r w:rsidR="00FB031E">
        <w:rPr>
          <w:rFonts w:ascii="Times New Roman" w:hAnsi="Times New Roman" w:cs="Times New Roman"/>
          <w:sz w:val="24"/>
          <w:szCs w:val="24"/>
        </w:rPr>
        <w:t>000 registrací 3 500 látek. (od platnosti REACH registrováno celkem 6 598 látek). Finální verze výsledků by měla být vydána v srpnu 2013. Německo je první v pořadí států podle podílu na celkovém počtu registrací 2013 s </w:t>
      </w:r>
      <w:r w:rsidR="00DB66E4">
        <w:rPr>
          <w:rFonts w:ascii="Times New Roman" w:hAnsi="Times New Roman" w:cs="Times New Roman"/>
          <w:sz w:val="24"/>
          <w:szCs w:val="24"/>
        </w:rPr>
        <w:t xml:space="preserve"> 3</w:t>
      </w:r>
      <w:bookmarkStart w:id="0" w:name="_GoBack"/>
      <w:bookmarkEnd w:id="0"/>
      <w:r w:rsidR="00FB031E">
        <w:rPr>
          <w:rFonts w:ascii="Times New Roman" w:hAnsi="Times New Roman" w:cs="Times New Roman"/>
          <w:sz w:val="24"/>
          <w:szCs w:val="24"/>
        </w:rPr>
        <w:t xml:space="preserve">5 %, druhé je Spojené království s 10 %, třetí Nizozemí s 9 % a ČR je na desátém </w:t>
      </w:r>
      <w:proofErr w:type="gramStart"/>
      <w:r w:rsidR="00FB031E">
        <w:rPr>
          <w:rFonts w:ascii="Times New Roman" w:hAnsi="Times New Roman" w:cs="Times New Roman"/>
          <w:sz w:val="24"/>
          <w:szCs w:val="24"/>
        </w:rPr>
        <w:t>místě s 1,1</w:t>
      </w:r>
      <w:proofErr w:type="gramEnd"/>
      <w:r w:rsidR="00FB031E">
        <w:rPr>
          <w:rFonts w:ascii="Times New Roman" w:hAnsi="Times New Roman" w:cs="Times New Roman"/>
          <w:sz w:val="24"/>
          <w:szCs w:val="24"/>
        </w:rPr>
        <w:t xml:space="preserve"> % (101 registrací). V rozdělení podle velikosti podniků připadá 80 % na velké společnosti, 11 % na střední podniky, 6 % na malé podniky a 3 % na mikro podniky. Podle role v dodavatelském řetězci připadá 40 % na výrobce, 25 % na dovozce, 23 % na výhradní zástupce a 12 % na výrobce + dovozce. </w:t>
      </w:r>
      <w:r w:rsidR="00032594">
        <w:rPr>
          <w:rFonts w:ascii="Times New Roman" w:hAnsi="Times New Roman" w:cs="Times New Roman"/>
          <w:sz w:val="24"/>
          <w:szCs w:val="24"/>
        </w:rPr>
        <w:t xml:space="preserve">Dne 27. </w:t>
      </w:r>
      <w:r w:rsidR="005135C2">
        <w:rPr>
          <w:rFonts w:ascii="Times New Roman" w:hAnsi="Times New Roman" w:cs="Times New Roman"/>
          <w:sz w:val="24"/>
          <w:szCs w:val="24"/>
        </w:rPr>
        <w:t>č</w:t>
      </w:r>
      <w:r w:rsidR="00032594">
        <w:rPr>
          <w:rFonts w:ascii="Times New Roman" w:hAnsi="Times New Roman" w:cs="Times New Roman"/>
          <w:sz w:val="24"/>
          <w:szCs w:val="24"/>
        </w:rPr>
        <w:t xml:space="preserve">ervna 2013 proběhne úvodní jednání k IMPEL projektu, který zahrnuje směrnici 2010/75/EU o průmyslových emisích (IED) a nařízení REACH. Za Fórum se ho zúčastní </w:t>
      </w:r>
      <w:proofErr w:type="spellStart"/>
      <w:r w:rsidR="00032594">
        <w:rPr>
          <w:rFonts w:ascii="Times New Roman" w:hAnsi="Times New Roman" w:cs="Times New Roman"/>
          <w:sz w:val="24"/>
          <w:szCs w:val="24"/>
        </w:rPr>
        <w:t>Parvoleta</w:t>
      </w:r>
      <w:proofErr w:type="spellEnd"/>
      <w:r w:rsidR="00032594">
        <w:rPr>
          <w:rFonts w:ascii="Times New Roman" w:hAnsi="Times New Roman" w:cs="Times New Roman"/>
          <w:sz w:val="24"/>
          <w:szCs w:val="24"/>
        </w:rPr>
        <w:t xml:space="preserve"> </w:t>
      </w:r>
      <w:proofErr w:type="spellStart"/>
      <w:r w:rsidR="00032594">
        <w:rPr>
          <w:rFonts w:ascii="Times New Roman" w:hAnsi="Times New Roman" w:cs="Times New Roman"/>
          <w:sz w:val="24"/>
          <w:szCs w:val="24"/>
        </w:rPr>
        <w:t>Luleva</w:t>
      </w:r>
      <w:proofErr w:type="spellEnd"/>
      <w:r w:rsidR="00032594">
        <w:rPr>
          <w:rFonts w:ascii="Times New Roman" w:hAnsi="Times New Roman" w:cs="Times New Roman"/>
          <w:sz w:val="24"/>
          <w:szCs w:val="24"/>
        </w:rPr>
        <w:t xml:space="preserve"> z Bulharska. Školení školitelů v ECHA proběhne ve dnech 19. </w:t>
      </w:r>
      <w:r w:rsidR="005135C2">
        <w:rPr>
          <w:rFonts w:ascii="Times New Roman" w:hAnsi="Times New Roman" w:cs="Times New Roman"/>
          <w:sz w:val="24"/>
          <w:szCs w:val="24"/>
        </w:rPr>
        <w:t>a</w:t>
      </w:r>
      <w:r w:rsidR="00032594">
        <w:rPr>
          <w:rFonts w:ascii="Times New Roman" w:hAnsi="Times New Roman" w:cs="Times New Roman"/>
          <w:sz w:val="24"/>
          <w:szCs w:val="24"/>
        </w:rPr>
        <w:t xml:space="preserve"> </w:t>
      </w:r>
      <w:proofErr w:type="gramStart"/>
      <w:r w:rsidR="00032594">
        <w:rPr>
          <w:rFonts w:ascii="Times New Roman" w:hAnsi="Times New Roman" w:cs="Times New Roman"/>
          <w:sz w:val="24"/>
          <w:szCs w:val="24"/>
        </w:rPr>
        <w:t>20.11.2013</w:t>
      </w:r>
      <w:proofErr w:type="gramEnd"/>
      <w:r w:rsidR="00032594">
        <w:rPr>
          <w:rFonts w:ascii="Times New Roman" w:hAnsi="Times New Roman" w:cs="Times New Roman"/>
          <w:sz w:val="24"/>
          <w:szCs w:val="24"/>
        </w:rPr>
        <w:t xml:space="preserve"> a již jsou vybráni dva inspektoři, kteří se ho zúčastní. Na programu bud</w:t>
      </w:r>
      <w:r w:rsidR="005135C2">
        <w:rPr>
          <w:rFonts w:ascii="Times New Roman" w:hAnsi="Times New Roman" w:cs="Times New Roman"/>
          <w:sz w:val="24"/>
          <w:szCs w:val="24"/>
        </w:rPr>
        <w:t>ou:</w:t>
      </w:r>
      <w:r w:rsidR="00032594">
        <w:rPr>
          <w:rFonts w:ascii="Times New Roman" w:hAnsi="Times New Roman" w:cs="Times New Roman"/>
          <w:sz w:val="24"/>
          <w:szCs w:val="24"/>
        </w:rPr>
        <w:t xml:space="preserve"> látky v předmětech, klasifikace a označení, použití látek, příklady z REF3, meziprodukty, identita látek, případy z </w:t>
      </w:r>
      <w:proofErr w:type="spellStart"/>
      <w:r w:rsidR="00032594">
        <w:rPr>
          <w:rFonts w:ascii="Times New Roman" w:hAnsi="Times New Roman" w:cs="Times New Roman"/>
          <w:sz w:val="24"/>
          <w:szCs w:val="24"/>
        </w:rPr>
        <w:t>HelpEx</w:t>
      </w:r>
      <w:proofErr w:type="spellEnd"/>
      <w:r w:rsidR="00032594">
        <w:rPr>
          <w:rFonts w:ascii="Times New Roman" w:hAnsi="Times New Roman" w:cs="Times New Roman"/>
          <w:sz w:val="24"/>
          <w:szCs w:val="24"/>
        </w:rPr>
        <w:t xml:space="preserve"> (výměna mezi </w:t>
      </w:r>
      <w:proofErr w:type="spellStart"/>
      <w:r w:rsidR="00032594">
        <w:rPr>
          <w:rFonts w:ascii="Times New Roman" w:hAnsi="Times New Roman" w:cs="Times New Roman"/>
          <w:sz w:val="24"/>
          <w:szCs w:val="24"/>
        </w:rPr>
        <w:t>help</w:t>
      </w:r>
      <w:proofErr w:type="spellEnd"/>
      <w:r w:rsidR="00032594">
        <w:rPr>
          <w:rFonts w:ascii="Times New Roman" w:hAnsi="Times New Roman" w:cs="Times New Roman"/>
          <w:sz w:val="24"/>
          <w:szCs w:val="24"/>
        </w:rPr>
        <w:t>-desky členských států).</w:t>
      </w:r>
      <w:r w:rsidR="00FB031E">
        <w:rPr>
          <w:rFonts w:ascii="Times New Roman" w:hAnsi="Times New Roman" w:cs="Times New Roman"/>
          <w:sz w:val="24"/>
          <w:szCs w:val="24"/>
        </w:rPr>
        <w:t xml:space="preserve"> </w:t>
      </w:r>
    </w:p>
    <w:p w:rsidR="0036032C" w:rsidRPr="0036032C" w:rsidRDefault="0036032C" w:rsidP="00C25B30">
      <w:pPr>
        <w:spacing w:line="240" w:lineRule="auto"/>
        <w:jc w:val="both"/>
        <w:rPr>
          <w:rFonts w:ascii="Times New Roman" w:hAnsi="Times New Roman" w:cs="Times New Roman"/>
          <w:b/>
          <w:sz w:val="24"/>
          <w:szCs w:val="24"/>
        </w:rPr>
      </w:pPr>
    </w:p>
    <w:p w:rsidR="0036032C" w:rsidRDefault="0036032C" w:rsidP="00C25B30">
      <w:pPr>
        <w:spacing w:line="240" w:lineRule="auto"/>
        <w:jc w:val="both"/>
        <w:rPr>
          <w:rFonts w:ascii="Times New Roman" w:hAnsi="Times New Roman" w:cs="Times New Roman"/>
          <w:b/>
          <w:sz w:val="28"/>
          <w:szCs w:val="28"/>
        </w:rPr>
      </w:pPr>
      <w:r w:rsidRPr="0036032C">
        <w:rPr>
          <w:rFonts w:ascii="Times New Roman" w:hAnsi="Times New Roman" w:cs="Times New Roman"/>
          <w:b/>
          <w:sz w:val="28"/>
          <w:szCs w:val="28"/>
        </w:rPr>
        <w:t xml:space="preserve">Informace o </w:t>
      </w:r>
      <w:r w:rsidR="0069168E">
        <w:rPr>
          <w:rFonts w:ascii="Times New Roman" w:hAnsi="Times New Roman" w:cs="Times New Roman"/>
          <w:b/>
          <w:sz w:val="28"/>
          <w:szCs w:val="28"/>
        </w:rPr>
        <w:t>semináři</w:t>
      </w:r>
      <w:r w:rsidRPr="0036032C">
        <w:rPr>
          <w:rFonts w:ascii="Times New Roman" w:hAnsi="Times New Roman" w:cs="Times New Roman"/>
          <w:b/>
          <w:sz w:val="28"/>
          <w:szCs w:val="28"/>
        </w:rPr>
        <w:t xml:space="preserve"> – Poučení získané z havárií, František Kraus</w:t>
      </w:r>
    </w:p>
    <w:p w:rsidR="0069168E" w:rsidRDefault="0069168E" w:rsidP="00C25B3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Seminář proběhl se </w:t>
      </w:r>
      <w:proofErr w:type="spellStart"/>
      <w:r>
        <w:rPr>
          <w:rFonts w:ascii="Times New Roman" w:hAnsi="Times New Roman" w:cs="Times New Roman"/>
          <w:sz w:val="24"/>
          <w:szCs w:val="24"/>
        </w:rPr>
        <w:t>Strasbourgu</w:t>
      </w:r>
      <w:proofErr w:type="spellEnd"/>
      <w:r>
        <w:rPr>
          <w:rFonts w:ascii="Times New Roman" w:hAnsi="Times New Roman" w:cs="Times New Roman"/>
          <w:sz w:val="24"/>
          <w:szCs w:val="24"/>
        </w:rPr>
        <w:t xml:space="preserve">, cílem semináře je prezentovat konkrétní havárie z jednotlivých zemí, podělit se o zkušenosti s jejich likvidací a přinést poučení, jak v budoucnu těmto haváriím předejít. Jednotlivé příspěvky prezentované v průběhu semináře byly rozděleny do několika tematických skupin (havárie zapříčiněné selháním signalizace, havárie rozlišené podle druhu rizika (požár, výbuch, únik  CHL), havárie zapříčiněné lidským činitelem, havárie zapříčiněné chybnou/nedostatečnou analýzou rizik, havárie způsobené přírodními jevy a následný postup po vzniklé havárii). Všechny prezentované havárie budou k dispozici na webových stránkách: </w:t>
      </w:r>
      <w:hyperlink r:id="rId8" w:history="1">
        <w:r w:rsidRPr="00BE754A">
          <w:rPr>
            <w:rStyle w:val="Hypertextovodkaz"/>
            <w:rFonts w:ascii="Times New Roman" w:hAnsi="Times New Roman" w:cs="Times New Roman"/>
            <w:sz w:val="24"/>
            <w:szCs w:val="24"/>
          </w:rPr>
          <w:t>www.aria.developpement-durable.gouv.fr</w:t>
        </w:r>
      </w:hyperlink>
      <w:r>
        <w:rPr>
          <w:rFonts w:ascii="Times New Roman" w:hAnsi="Times New Roman" w:cs="Times New Roman"/>
          <w:sz w:val="24"/>
          <w:szCs w:val="24"/>
        </w:rPr>
        <w:t>. Z prezentovaných případů je zjevné, že v žádném případě by nemělo být spoléháno pouze na lidský faktor, případně na spolehlivost používané technologie bez druhotného zabezpečení.</w:t>
      </w:r>
    </w:p>
    <w:p w:rsidR="0069168E" w:rsidRDefault="0069168E" w:rsidP="00C25B30">
      <w:pPr>
        <w:spacing w:line="240" w:lineRule="auto"/>
        <w:jc w:val="both"/>
        <w:rPr>
          <w:rFonts w:ascii="Times New Roman" w:hAnsi="Times New Roman" w:cs="Times New Roman"/>
          <w:sz w:val="24"/>
          <w:szCs w:val="24"/>
        </w:rPr>
      </w:pPr>
    </w:p>
    <w:p w:rsidR="0069168E" w:rsidRDefault="0069168E" w:rsidP="0069168E">
      <w:pPr>
        <w:spacing w:before="120" w:after="0" w:line="240" w:lineRule="auto"/>
        <w:jc w:val="both"/>
        <w:rPr>
          <w:rFonts w:ascii="Times New Roman" w:eastAsia="Times New Roman" w:hAnsi="Times New Roman" w:cs="Arial"/>
          <w:b/>
          <w:bCs/>
          <w:sz w:val="28"/>
          <w:szCs w:val="28"/>
          <w:lang w:eastAsia="cs-CZ"/>
        </w:rPr>
      </w:pPr>
      <w:r w:rsidRPr="0069168E">
        <w:rPr>
          <w:rFonts w:ascii="Times New Roman" w:eastAsia="Times New Roman" w:hAnsi="Times New Roman" w:cs="Arial"/>
          <w:b/>
          <w:bCs/>
          <w:sz w:val="28"/>
          <w:szCs w:val="28"/>
          <w:lang w:eastAsia="cs-CZ"/>
        </w:rPr>
        <w:t xml:space="preserve">Projekty sítě IMPEL v ochraně přírody, </w:t>
      </w:r>
      <w:r w:rsidR="005135C2">
        <w:rPr>
          <w:rFonts w:ascii="Times New Roman" w:eastAsia="Times New Roman" w:hAnsi="Times New Roman" w:cs="Arial"/>
          <w:b/>
          <w:bCs/>
          <w:sz w:val="28"/>
          <w:szCs w:val="28"/>
          <w:lang w:eastAsia="cs-CZ"/>
        </w:rPr>
        <w:t>Martin</w:t>
      </w:r>
      <w:r w:rsidRPr="0069168E">
        <w:rPr>
          <w:rFonts w:ascii="Times New Roman" w:eastAsia="Times New Roman" w:hAnsi="Times New Roman" w:cs="Arial"/>
          <w:b/>
          <w:bCs/>
          <w:sz w:val="28"/>
          <w:szCs w:val="28"/>
          <w:lang w:eastAsia="cs-CZ"/>
        </w:rPr>
        <w:t xml:space="preserve"> Baranyai</w:t>
      </w:r>
    </w:p>
    <w:p w:rsidR="0069168E" w:rsidRDefault="0069168E" w:rsidP="0069168E">
      <w:pPr>
        <w:spacing w:before="120" w:after="0" w:line="240" w:lineRule="auto"/>
        <w:jc w:val="both"/>
        <w:rPr>
          <w:rFonts w:ascii="Times New Roman" w:eastAsia="Times New Roman" w:hAnsi="Times New Roman" w:cs="Arial"/>
          <w:bCs/>
          <w:sz w:val="24"/>
          <w:szCs w:val="30"/>
          <w:lang w:eastAsia="cs-CZ"/>
        </w:rPr>
      </w:pPr>
    </w:p>
    <w:p w:rsidR="0069168E" w:rsidRPr="0069168E" w:rsidRDefault="0069168E" w:rsidP="0069168E">
      <w:pPr>
        <w:spacing w:before="120" w:after="0" w:line="240" w:lineRule="auto"/>
        <w:jc w:val="both"/>
        <w:rPr>
          <w:rFonts w:ascii="Times New Roman" w:eastAsia="Times New Roman" w:hAnsi="Times New Roman" w:cs="Arial"/>
          <w:bCs/>
          <w:sz w:val="24"/>
          <w:szCs w:val="30"/>
          <w:lang w:eastAsia="cs-CZ"/>
        </w:rPr>
      </w:pPr>
      <w:r w:rsidRPr="0069168E">
        <w:rPr>
          <w:rFonts w:ascii="Times New Roman" w:eastAsia="Times New Roman" w:hAnsi="Times New Roman" w:cs="Arial"/>
          <w:bCs/>
          <w:sz w:val="24"/>
          <w:szCs w:val="30"/>
          <w:lang w:eastAsia="cs-CZ"/>
        </w:rPr>
        <w:t xml:space="preserve"> </w:t>
      </w:r>
      <w:proofErr w:type="spellStart"/>
      <w:r w:rsidRPr="0069168E">
        <w:rPr>
          <w:rFonts w:ascii="Times New Roman" w:eastAsia="Times New Roman" w:hAnsi="Times New Roman" w:cs="Arial"/>
          <w:bCs/>
          <w:sz w:val="24"/>
          <w:szCs w:val="30"/>
          <w:lang w:eastAsia="cs-CZ"/>
        </w:rPr>
        <w:t>M.Baranyai</w:t>
      </w:r>
      <w:proofErr w:type="spellEnd"/>
      <w:r w:rsidRPr="0069168E">
        <w:rPr>
          <w:rFonts w:ascii="Times New Roman" w:eastAsia="Times New Roman" w:hAnsi="Times New Roman" w:cs="Arial"/>
          <w:bCs/>
          <w:sz w:val="24"/>
          <w:szCs w:val="30"/>
          <w:lang w:eastAsia="cs-CZ"/>
        </w:rPr>
        <w:t xml:space="preserve"> informoval o projektech sítě IMPEL v ochraně přírody, které byly na základě požadavku Evropské komise schváleny na plenárním zasedání IMPEL na Kypru v prosinci 2012. Jedná se o následující projekty:</w:t>
      </w:r>
    </w:p>
    <w:p w:rsidR="0069168E" w:rsidRPr="0069168E" w:rsidRDefault="0069168E" w:rsidP="0069168E">
      <w:pPr>
        <w:spacing w:after="0" w:line="240" w:lineRule="auto"/>
        <w:jc w:val="both"/>
        <w:rPr>
          <w:rFonts w:ascii="Times New Roman" w:eastAsia="Times New Roman" w:hAnsi="Times New Roman" w:cs="Arial"/>
          <w:bCs/>
          <w:sz w:val="24"/>
          <w:szCs w:val="30"/>
          <w:lang w:eastAsia="cs-CZ"/>
        </w:rPr>
      </w:pPr>
      <w:r w:rsidRPr="0069168E">
        <w:rPr>
          <w:rFonts w:ascii="Times New Roman" w:eastAsia="Times New Roman" w:hAnsi="Times New Roman" w:cs="Arial"/>
          <w:bCs/>
          <w:sz w:val="24"/>
          <w:szCs w:val="30"/>
          <w:lang w:eastAsia="cs-CZ"/>
        </w:rPr>
        <w:t>1. Budování kapacit IMPEL v ochraně přírody.</w:t>
      </w:r>
    </w:p>
    <w:p w:rsidR="0069168E" w:rsidRPr="0069168E" w:rsidRDefault="0069168E" w:rsidP="0069168E">
      <w:pPr>
        <w:spacing w:after="0" w:line="240" w:lineRule="auto"/>
        <w:jc w:val="both"/>
        <w:rPr>
          <w:rFonts w:ascii="Times New Roman" w:eastAsia="Times New Roman" w:hAnsi="Times New Roman" w:cs="Arial"/>
          <w:bCs/>
          <w:sz w:val="24"/>
          <w:szCs w:val="30"/>
          <w:lang w:eastAsia="cs-CZ"/>
        </w:rPr>
      </w:pPr>
      <w:r w:rsidRPr="0069168E">
        <w:rPr>
          <w:rFonts w:ascii="Times New Roman" w:eastAsia="Times New Roman" w:hAnsi="Times New Roman" w:cs="Arial"/>
          <w:bCs/>
          <w:sz w:val="24"/>
          <w:szCs w:val="30"/>
          <w:lang w:eastAsia="cs-CZ"/>
        </w:rPr>
        <w:t>2. Eliminace nezákonného zabíjení, chytání a obchodování s ptáky.</w:t>
      </w:r>
    </w:p>
    <w:p w:rsidR="0069168E" w:rsidRPr="0069168E" w:rsidRDefault="0069168E" w:rsidP="0069168E">
      <w:pPr>
        <w:spacing w:after="0" w:line="240" w:lineRule="auto"/>
        <w:jc w:val="both"/>
        <w:rPr>
          <w:rFonts w:ascii="Times New Roman" w:eastAsia="Times New Roman" w:hAnsi="Times New Roman" w:cs="Arial"/>
          <w:bCs/>
          <w:sz w:val="24"/>
          <w:szCs w:val="30"/>
          <w:lang w:eastAsia="cs-CZ"/>
        </w:rPr>
      </w:pPr>
      <w:r w:rsidRPr="0069168E">
        <w:rPr>
          <w:rFonts w:ascii="Times New Roman" w:eastAsia="Times New Roman" w:hAnsi="Times New Roman" w:cs="Arial"/>
          <w:bCs/>
          <w:sz w:val="24"/>
          <w:szCs w:val="30"/>
          <w:lang w:eastAsia="cs-CZ"/>
        </w:rPr>
        <w:lastRenderedPageBreak/>
        <w:t>3. Ochrana přírody při povolování a kontrolách průmyslových provozů.</w:t>
      </w:r>
    </w:p>
    <w:p w:rsidR="0069168E" w:rsidRPr="0069168E" w:rsidRDefault="0069168E" w:rsidP="0069168E">
      <w:pPr>
        <w:spacing w:before="120" w:after="0" w:line="240" w:lineRule="auto"/>
        <w:jc w:val="both"/>
        <w:rPr>
          <w:rFonts w:ascii="Times New Roman" w:eastAsia="Times New Roman" w:hAnsi="Times New Roman" w:cs="Arial"/>
          <w:bCs/>
          <w:sz w:val="24"/>
          <w:szCs w:val="30"/>
          <w:lang w:eastAsia="cs-CZ"/>
        </w:rPr>
      </w:pPr>
      <w:r w:rsidRPr="0069168E">
        <w:rPr>
          <w:rFonts w:ascii="Times New Roman" w:eastAsia="Times New Roman" w:hAnsi="Times New Roman" w:cs="Arial"/>
          <w:bCs/>
          <w:sz w:val="24"/>
          <w:szCs w:val="30"/>
          <w:lang w:eastAsia="cs-CZ"/>
        </w:rPr>
        <w:t xml:space="preserve">   ČIŽP je vedoucím projektu ve věci budování kapacit IMPEL v ochraně přírody, v této souvislosti již proběhlo mnoho konzultací s orgány ochrany přírody jiných členských </w:t>
      </w:r>
      <w:proofErr w:type="gramStart"/>
      <w:r w:rsidRPr="0069168E">
        <w:rPr>
          <w:rFonts w:ascii="Times New Roman" w:eastAsia="Times New Roman" w:hAnsi="Times New Roman" w:cs="Arial"/>
          <w:bCs/>
          <w:sz w:val="24"/>
          <w:szCs w:val="30"/>
          <w:lang w:eastAsia="cs-CZ"/>
        </w:rPr>
        <w:t>zemích</w:t>
      </w:r>
      <w:proofErr w:type="gramEnd"/>
      <w:r w:rsidRPr="0069168E">
        <w:rPr>
          <w:rFonts w:ascii="Times New Roman" w:eastAsia="Times New Roman" w:hAnsi="Times New Roman" w:cs="Arial"/>
          <w:bCs/>
          <w:sz w:val="24"/>
          <w:szCs w:val="30"/>
          <w:lang w:eastAsia="cs-CZ"/>
        </w:rPr>
        <w:t xml:space="preserve"> a v letním období se budou analyzovat odpovědi na dotazník, který je zaměřen především na ustanovení čl. 6 odst. 2 a 3 směrnice o stanovištích.</w:t>
      </w:r>
    </w:p>
    <w:p w:rsidR="0069168E" w:rsidRPr="0069168E" w:rsidRDefault="0069168E" w:rsidP="0069168E">
      <w:pPr>
        <w:spacing w:before="120" w:after="0" w:line="240" w:lineRule="auto"/>
        <w:jc w:val="both"/>
        <w:rPr>
          <w:rFonts w:ascii="Times New Roman" w:eastAsia="Times New Roman" w:hAnsi="Times New Roman" w:cs="Arial"/>
          <w:bCs/>
          <w:sz w:val="24"/>
          <w:szCs w:val="30"/>
          <w:lang w:eastAsia="cs-CZ"/>
        </w:rPr>
      </w:pPr>
      <w:r w:rsidRPr="0069168E">
        <w:rPr>
          <w:rFonts w:ascii="Times New Roman" w:eastAsia="Times New Roman" w:hAnsi="Times New Roman" w:cs="Arial"/>
          <w:bCs/>
          <w:sz w:val="24"/>
          <w:szCs w:val="30"/>
          <w:lang w:eastAsia="cs-CZ"/>
        </w:rPr>
        <w:t xml:space="preserve">   Dále informoval o evropském akčním plánu FLEGT, který byl zveřejněn v roce 2003 s cílem omezit nezákonné těžby v lesích a podporovat trvale udržitelné lesnické hospodaření. Začátkem března 2013 nabylo účinnosti nařízení EU č. 995/2010, kterým se stanoví povinností subjektů uvádějící na trh dřevo a dřevařské výrobky. V článku 4 odst. 1 toto nařízení stanovuje, že je zakázáno uvádět na trh EU nezákonně vytěžené dříví.  V ČR by mělo být toto nařízení implementováno v novém zákonu o dříví, který prošel třetím čtením ve sněmovně a nyní čeká na projednání v senátu. S ohledem na iniciativu </w:t>
      </w:r>
      <w:proofErr w:type="spellStart"/>
      <w:r w:rsidRPr="0069168E">
        <w:rPr>
          <w:rFonts w:ascii="Times New Roman" w:eastAsia="Times New Roman" w:hAnsi="Times New Roman" w:cs="Arial"/>
          <w:bCs/>
          <w:sz w:val="24"/>
          <w:szCs w:val="30"/>
          <w:lang w:eastAsia="cs-CZ"/>
        </w:rPr>
        <w:t>MZe</w:t>
      </w:r>
      <w:proofErr w:type="spellEnd"/>
      <w:r w:rsidRPr="0069168E">
        <w:rPr>
          <w:rFonts w:ascii="Times New Roman" w:eastAsia="Times New Roman" w:hAnsi="Times New Roman" w:cs="Arial"/>
          <w:bCs/>
          <w:sz w:val="24"/>
          <w:szCs w:val="30"/>
          <w:lang w:eastAsia="cs-CZ"/>
        </w:rPr>
        <w:t xml:space="preserve"> a Asociace krajských úřadů bohužel nebyly v novém zákoně přiděleny ČIŽP žádné kompetence, dodržování povinností ze zákona o dříví by měly kontrolovat krajské úřady. Závěrem ilustroval tuto problematiku nezákonných těžeb na případech řešených ve Východních Čechách a v rámci celé ČR.</w:t>
      </w:r>
    </w:p>
    <w:p w:rsidR="0069168E" w:rsidRDefault="0069168E" w:rsidP="0069168E">
      <w:pPr>
        <w:spacing w:before="120" w:after="0" w:line="240" w:lineRule="auto"/>
        <w:jc w:val="both"/>
        <w:rPr>
          <w:rFonts w:ascii="Times New Roman" w:eastAsia="Times New Roman" w:hAnsi="Times New Roman" w:cs="Arial"/>
          <w:bCs/>
          <w:sz w:val="24"/>
          <w:szCs w:val="30"/>
          <w:lang w:eastAsia="cs-CZ"/>
        </w:rPr>
      </w:pPr>
    </w:p>
    <w:p w:rsidR="00A939C2" w:rsidRPr="0069168E" w:rsidRDefault="00A939C2" w:rsidP="0069168E">
      <w:pPr>
        <w:spacing w:before="120" w:after="0" w:line="240" w:lineRule="auto"/>
        <w:jc w:val="both"/>
        <w:rPr>
          <w:rFonts w:ascii="Times New Roman" w:eastAsia="Times New Roman" w:hAnsi="Times New Roman" w:cs="Arial"/>
          <w:bCs/>
          <w:sz w:val="24"/>
          <w:szCs w:val="30"/>
          <w:lang w:eastAsia="cs-CZ"/>
        </w:rPr>
      </w:pPr>
      <w:r>
        <w:rPr>
          <w:rFonts w:ascii="Times New Roman" w:eastAsia="Times New Roman" w:hAnsi="Times New Roman" w:cs="Arial"/>
          <w:bCs/>
          <w:sz w:val="24"/>
          <w:szCs w:val="30"/>
          <w:lang w:eastAsia="cs-CZ"/>
        </w:rPr>
        <w:t xml:space="preserve">Příští setkání vnitřní sítě IMPEL se bude konat v listopadu 2013, termín ještě bude </w:t>
      </w:r>
      <w:proofErr w:type="spellStart"/>
      <w:r>
        <w:rPr>
          <w:rFonts w:ascii="Times New Roman" w:eastAsia="Times New Roman" w:hAnsi="Times New Roman" w:cs="Arial"/>
          <w:bCs/>
          <w:sz w:val="24"/>
          <w:szCs w:val="30"/>
          <w:lang w:eastAsia="cs-CZ"/>
        </w:rPr>
        <w:t>upředsněn</w:t>
      </w:r>
      <w:proofErr w:type="spellEnd"/>
      <w:r>
        <w:rPr>
          <w:rFonts w:ascii="Times New Roman" w:eastAsia="Times New Roman" w:hAnsi="Times New Roman" w:cs="Arial"/>
          <w:bCs/>
          <w:sz w:val="24"/>
          <w:szCs w:val="30"/>
          <w:lang w:eastAsia="cs-CZ"/>
        </w:rPr>
        <w:t>.</w:t>
      </w:r>
    </w:p>
    <w:p w:rsidR="0069168E" w:rsidRDefault="0069168E" w:rsidP="00C25B30">
      <w:pPr>
        <w:spacing w:line="240" w:lineRule="auto"/>
        <w:jc w:val="both"/>
        <w:rPr>
          <w:rFonts w:ascii="Times New Roman" w:hAnsi="Times New Roman" w:cs="Times New Roman"/>
          <w:sz w:val="24"/>
          <w:szCs w:val="24"/>
        </w:rPr>
      </w:pPr>
    </w:p>
    <w:p w:rsidR="0069168E" w:rsidRPr="0069168E" w:rsidRDefault="0069168E" w:rsidP="00C25B30">
      <w:pPr>
        <w:spacing w:line="240" w:lineRule="auto"/>
        <w:jc w:val="both"/>
        <w:rPr>
          <w:rFonts w:ascii="Times New Roman" w:hAnsi="Times New Roman" w:cs="Times New Roman"/>
          <w:sz w:val="24"/>
          <w:szCs w:val="24"/>
        </w:rPr>
      </w:pPr>
    </w:p>
    <w:p w:rsidR="0069168E" w:rsidRDefault="0069168E" w:rsidP="00C25B30">
      <w:pPr>
        <w:spacing w:line="240" w:lineRule="auto"/>
        <w:jc w:val="both"/>
        <w:rPr>
          <w:rFonts w:ascii="Times New Roman" w:hAnsi="Times New Roman" w:cs="Times New Roman"/>
          <w:b/>
          <w:sz w:val="28"/>
          <w:szCs w:val="28"/>
        </w:rPr>
      </w:pPr>
    </w:p>
    <w:p w:rsidR="0069168E" w:rsidRDefault="0069168E" w:rsidP="00C25B30">
      <w:pPr>
        <w:spacing w:line="240" w:lineRule="auto"/>
        <w:jc w:val="both"/>
        <w:rPr>
          <w:rFonts w:ascii="Times New Roman" w:hAnsi="Times New Roman" w:cs="Times New Roman"/>
          <w:b/>
          <w:sz w:val="28"/>
          <w:szCs w:val="28"/>
        </w:rPr>
      </w:pPr>
    </w:p>
    <w:p w:rsidR="0036032C" w:rsidRPr="0036032C" w:rsidRDefault="0036032C" w:rsidP="00C25B30">
      <w:pPr>
        <w:spacing w:line="240" w:lineRule="auto"/>
        <w:jc w:val="both"/>
        <w:rPr>
          <w:rFonts w:ascii="Times New Roman" w:hAnsi="Times New Roman" w:cs="Times New Roman"/>
          <w:sz w:val="24"/>
          <w:szCs w:val="24"/>
        </w:rPr>
      </w:pPr>
    </w:p>
    <w:p w:rsidR="00C25B30" w:rsidRPr="00C25B30" w:rsidRDefault="00C25B30" w:rsidP="00C25B30">
      <w:pPr>
        <w:spacing w:line="240" w:lineRule="auto"/>
        <w:jc w:val="both"/>
        <w:rPr>
          <w:rFonts w:ascii="Times New Roman" w:hAnsi="Times New Roman" w:cs="Times New Roman"/>
          <w:sz w:val="24"/>
          <w:szCs w:val="24"/>
        </w:rPr>
      </w:pPr>
    </w:p>
    <w:p w:rsidR="00E5782D" w:rsidRPr="00E5782D" w:rsidRDefault="00E5782D" w:rsidP="00E5782D">
      <w:pPr>
        <w:jc w:val="both"/>
        <w:rPr>
          <w:b/>
          <w:sz w:val="28"/>
          <w:szCs w:val="28"/>
        </w:rPr>
      </w:pPr>
    </w:p>
    <w:p w:rsidR="00985BB6" w:rsidRDefault="00985BB6"/>
    <w:sectPr w:rsidR="00985BB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232" w:rsidRDefault="00296232" w:rsidP="00032594">
      <w:pPr>
        <w:spacing w:after="0" w:line="240" w:lineRule="auto"/>
      </w:pPr>
      <w:r>
        <w:separator/>
      </w:r>
    </w:p>
  </w:endnote>
  <w:endnote w:type="continuationSeparator" w:id="0">
    <w:p w:rsidR="00296232" w:rsidRDefault="00296232" w:rsidP="00032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7628747"/>
      <w:docPartObj>
        <w:docPartGallery w:val="Page Numbers (Bottom of Page)"/>
        <w:docPartUnique/>
      </w:docPartObj>
    </w:sdtPr>
    <w:sdtEndPr/>
    <w:sdtContent>
      <w:p w:rsidR="00032594" w:rsidRDefault="00032594">
        <w:pPr>
          <w:pStyle w:val="Zpat"/>
          <w:jc w:val="center"/>
        </w:pPr>
        <w:r>
          <w:fldChar w:fldCharType="begin"/>
        </w:r>
        <w:r>
          <w:instrText>PAGE   \* MERGEFORMAT</w:instrText>
        </w:r>
        <w:r>
          <w:fldChar w:fldCharType="separate"/>
        </w:r>
        <w:r w:rsidR="00DB66E4">
          <w:rPr>
            <w:noProof/>
          </w:rPr>
          <w:t>1</w:t>
        </w:r>
        <w:r>
          <w:fldChar w:fldCharType="end"/>
        </w:r>
      </w:p>
    </w:sdtContent>
  </w:sdt>
  <w:p w:rsidR="00032594" w:rsidRDefault="0003259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232" w:rsidRDefault="00296232" w:rsidP="00032594">
      <w:pPr>
        <w:spacing w:after="0" w:line="240" w:lineRule="auto"/>
      </w:pPr>
      <w:r>
        <w:separator/>
      </w:r>
    </w:p>
  </w:footnote>
  <w:footnote w:type="continuationSeparator" w:id="0">
    <w:p w:rsidR="00296232" w:rsidRDefault="00296232" w:rsidP="00032594">
      <w:pPr>
        <w:spacing w:after="0" w:line="240" w:lineRule="auto"/>
      </w:pPr>
      <w:r>
        <w:continuationSeparator/>
      </w:r>
    </w:p>
  </w:footnote>
  <w:footnote w:id="1">
    <w:p w:rsidR="00F461F2" w:rsidRDefault="00F461F2" w:rsidP="00F461F2">
      <w:pPr>
        <w:pStyle w:val="Textpoznpodarou"/>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3"/>
    <w:lvl w:ilvl="0">
      <w:start w:val="1"/>
      <w:numFmt w:val="lowerLetter"/>
      <w:lvlText w:val="%1)"/>
      <w:lvlJc w:val="left"/>
      <w:pPr>
        <w:tabs>
          <w:tab w:val="num" w:pos="720"/>
        </w:tabs>
        <w:ind w:left="720" w:firstLine="0"/>
      </w:pPr>
      <w:rPr>
        <w:position w:val="0"/>
        <w:sz w:val="24"/>
        <w:vertAlign w:val="baseline"/>
      </w:rPr>
    </w:lvl>
    <w:lvl w:ilvl="1">
      <w:start w:val="1"/>
      <w:numFmt w:val="lowerLetter"/>
      <w:lvlText w:val="%2)"/>
      <w:lvlJc w:val="left"/>
      <w:pPr>
        <w:tabs>
          <w:tab w:val="num" w:pos="720"/>
        </w:tabs>
        <w:ind w:left="720" w:firstLine="360"/>
      </w:pPr>
      <w:rPr>
        <w:position w:val="0"/>
        <w:sz w:val="24"/>
        <w:vertAlign w:val="baseline"/>
      </w:rPr>
    </w:lvl>
    <w:lvl w:ilvl="2">
      <w:start w:val="1"/>
      <w:numFmt w:val="lowerLetter"/>
      <w:lvlText w:val="%3)"/>
      <w:lvlJc w:val="left"/>
      <w:pPr>
        <w:tabs>
          <w:tab w:val="num" w:pos="720"/>
        </w:tabs>
        <w:ind w:left="720" w:firstLine="720"/>
      </w:pPr>
      <w:rPr>
        <w:position w:val="0"/>
        <w:sz w:val="24"/>
        <w:vertAlign w:val="baseline"/>
      </w:rPr>
    </w:lvl>
    <w:lvl w:ilvl="3">
      <w:start w:val="1"/>
      <w:numFmt w:val="lowerLetter"/>
      <w:lvlText w:val="%4)"/>
      <w:lvlJc w:val="left"/>
      <w:pPr>
        <w:tabs>
          <w:tab w:val="num" w:pos="720"/>
        </w:tabs>
        <w:ind w:left="720" w:firstLine="1080"/>
      </w:pPr>
      <w:rPr>
        <w:position w:val="0"/>
        <w:sz w:val="24"/>
        <w:vertAlign w:val="baseline"/>
      </w:rPr>
    </w:lvl>
    <w:lvl w:ilvl="4">
      <w:start w:val="1"/>
      <w:numFmt w:val="lowerLetter"/>
      <w:lvlText w:val="%5)"/>
      <w:lvlJc w:val="left"/>
      <w:pPr>
        <w:tabs>
          <w:tab w:val="num" w:pos="720"/>
        </w:tabs>
        <w:ind w:left="720" w:firstLine="1440"/>
      </w:pPr>
      <w:rPr>
        <w:position w:val="0"/>
        <w:sz w:val="24"/>
        <w:vertAlign w:val="baseline"/>
      </w:rPr>
    </w:lvl>
    <w:lvl w:ilvl="5">
      <w:start w:val="1"/>
      <w:numFmt w:val="lowerLetter"/>
      <w:lvlText w:val="%6)"/>
      <w:lvlJc w:val="left"/>
      <w:pPr>
        <w:tabs>
          <w:tab w:val="num" w:pos="720"/>
        </w:tabs>
        <w:ind w:left="720" w:firstLine="1800"/>
      </w:pPr>
      <w:rPr>
        <w:position w:val="0"/>
        <w:sz w:val="24"/>
        <w:vertAlign w:val="baseline"/>
      </w:rPr>
    </w:lvl>
    <w:lvl w:ilvl="6">
      <w:start w:val="1"/>
      <w:numFmt w:val="lowerLetter"/>
      <w:lvlText w:val="%7)"/>
      <w:lvlJc w:val="left"/>
      <w:pPr>
        <w:tabs>
          <w:tab w:val="num" w:pos="720"/>
        </w:tabs>
        <w:ind w:left="720" w:firstLine="2160"/>
      </w:pPr>
      <w:rPr>
        <w:position w:val="0"/>
        <w:sz w:val="24"/>
        <w:vertAlign w:val="baseline"/>
      </w:rPr>
    </w:lvl>
    <w:lvl w:ilvl="7">
      <w:start w:val="1"/>
      <w:numFmt w:val="lowerLetter"/>
      <w:lvlText w:val="%8)"/>
      <w:lvlJc w:val="left"/>
      <w:pPr>
        <w:tabs>
          <w:tab w:val="num" w:pos="720"/>
        </w:tabs>
        <w:ind w:left="720" w:firstLine="2520"/>
      </w:pPr>
      <w:rPr>
        <w:position w:val="0"/>
        <w:sz w:val="24"/>
        <w:vertAlign w:val="baseline"/>
      </w:rPr>
    </w:lvl>
    <w:lvl w:ilvl="8">
      <w:start w:val="1"/>
      <w:numFmt w:val="lowerLetter"/>
      <w:lvlText w:val="%9)"/>
      <w:lvlJc w:val="left"/>
      <w:pPr>
        <w:tabs>
          <w:tab w:val="num" w:pos="720"/>
        </w:tabs>
        <w:ind w:left="720" w:firstLine="2880"/>
      </w:pPr>
      <w:rPr>
        <w:position w:val="0"/>
        <w:sz w:val="24"/>
        <w:vertAlign w:val="baseline"/>
      </w:rPr>
    </w:lvl>
  </w:abstractNum>
  <w:abstractNum w:abstractNumId="1">
    <w:nsid w:val="0EAD262D"/>
    <w:multiLevelType w:val="hybridMultilevel"/>
    <w:tmpl w:val="94EE19A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nsid w:val="10C22171"/>
    <w:multiLevelType w:val="hybridMultilevel"/>
    <w:tmpl w:val="5A48FD1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nsid w:val="11801965"/>
    <w:multiLevelType w:val="hybridMultilevel"/>
    <w:tmpl w:val="BDFC23CA"/>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26EF63D3"/>
    <w:multiLevelType w:val="hybridMultilevel"/>
    <w:tmpl w:val="E78683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nsid w:val="2AF709A5"/>
    <w:multiLevelType w:val="hybridMultilevel"/>
    <w:tmpl w:val="5F384DA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nsid w:val="2FEC2DD0"/>
    <w:multiLevelType w:val="hybridMultilevel"/>
    <w:tmpl w:val="45A09C4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10F3A95"/>
    <w:multiLevelType w:val="hybridMultilevel"/>
    <w:tmpl w:val="6EE26EA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nsid w:val="392F0C65"/>
    <w:multiLevelType w:val="hybridMultilevel"/>
    <w:tmpl w:val="4F28220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nsid w:val="4066378F"/>
    <w:multiLevelType w:val="hybridMultilevel"/>
    <w:tmpl w:val="51CEE1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4E0C7401"/>
    <w:multiLevelType w:val="hybridMultilevel"/>
    <w:tmpl w:val="C0D0844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5384475E"/>
    <w:multiLevelType w:val="hybridMultilevel"/>
    <w:tmpl w:val="6520EC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55851ABD"/>
    <w:multiLevelType w:val="hybridMultilevel"/>
    <w:tmpl w:val="F64AF7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5BBB55EE"/>
    <w:multiLevelType w:val="hybridMultilevel"/>
    <w:tmpl w:val="A0708B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6D604F4B"/>
    <w:multiLevelType w:val="hybridMultilevel"/>
    <w:tmpl w:val="901E3FD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FDD50FD"/>
    <w:multiLevelType w:val="hybridMultilevel"/>
    <w:tmpl w:val="81B6A78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nsid w:val="756C138E"/>
    <w:multiLevelType w:val="hybridMultilevel"/>
    <w:tmpl w:val="C4E8A0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15"/>
  </w:num>
  <w:num w:numId="6">
    <w:abstractNumId w:val="4"/>
  </w:num>
  <w:num w:numId="7">
    <w:abstractNumId w:val="1"/>
  </w:num>
  <w:num w:numId="8">
    <w:abstractNumId w:val="7"/>
  </w:num>
  <w:num w:numId="9">
    <w:abstractNumId w:val="1"/>
  </w:num>
  <w:num w:numId="10">
    <w:abstractNumId w:val="3"/>
  </w:num>
  <w:num w:numId="11">
    <w:abstractNumId w:val="11"/>
  </w:num>
  <w:num w:numId="12">
    <w:abstractNumId w:val="10"/>
  </w:num>
  <w:num w:numId="13">
    <w:abstractNumId w:val="6"/>
  </w:num>
  <w:num w:numId="14">
    <w:abstractNumId w:val="14"/>
  </w:num>
  <w:num w:numId="15">
    <w:abstractNumId w:val="12"/>
  </w:num>
  <w:num w:numId="16">
    <w:abstractNumId w:val="13"/>
  </w:num>
  <w:num w:numId="17">
    <w:abstractNumId w:val="9"/>
  </w:num>
  <w:num w:numId="18">
    <w:abstractNumId w:val="1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82D"/>
    <w:rsid w:val="00032594"/>
    <w:rsid w:val="00063B94"/>
    <w:rsid w:val="00163B72"/>
    <w:rsid w:val="001B205B"/>
    <w:rsid w:val="00296232"/>
    <w:rsid w:val="0036032C"/>
    <w:rsid w:val="004119C3"/>
    <w:rsid w:val="005059FD"/>
    <w:rsid w:val="005135C2"/>
    <w:rsid w:val="00583B6D"/>
    <w:rsid w:val="0069168E"/>
    <w:rsid w:val="0089055E"/>
    <w:rsid w:val="00985BB6"/>
    <w:rsid w:val="00A66DC0"/>
    <w:rsid w:val="00A939C2"/>
    <w:rsid w:val="00AA7D76"/>
    <w:rsid w:val="00B44B12"/>
    <w:rsid w:val="00C25B30"/>
    <w:rsid w:val="00DB66E4"/>
    <w:rsid w:val="00E5782D"/>
    <w:rsid w:val="00F461F2"/>
    <w:rsid w:val="00FB031E"/>
    <w:rsid w:val="00FC56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5782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5782D"/>
    <w:pPr>
      <w:ind w:left="720"/>
      <w:contextualSpacing/>
    </w:pPr>
  </w:style>
  <w:style w:type="paragraph" w:styleId="Textbubliny">
    <w:name w:val="Balloon Text"/>
    <w:basedOn w:val="Normln"/>
    <w:link w:val="TextbublinyChar"/>
    <w:uiPriority w:val="99"/>
    <w:semiHidden/>
    <w:unhideWhenUsed/>
    <w:rsid w:val="0036032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6032C"/>
    <w:rPr>
      <w:rFonts w:ascii="Tahoma" w:hAnsi="Tahoma" w:cs="Tahoma"/>
      <w:sz w:val="16"/>
      <w:szCs w:val="16"/>
    </w:rPr>
  </w:style>
  <w:style w:type="character" w:styleId="Hypertextovodkaz">
    <w:name w:val="Hyperlink"/>
    <w:basedOn w:val="Standardnpsmoodstavce"/>
    <w:uiPriority w:val="99"/>
    <w:unhideWhenUsed/>
    <w:rsid w:val="0069168E"/>
    <w:rPr>
      <w:color w:val="0000FF" w:themeColor="hyperlink"/>
      <w:u w:val="single"/>
    </w:rPr>
  </w:style>
  <w:style w:type="paragraph" w:customStyle="1" w:styleId="PointManual">
    <w:name w:val="Point Manual"/>
    <w:basedOn w:val="Normln"/>
    <w:rsid w:val="00FC56CA"/>
    <w:pPr>
      <w:spacing w:before="200" w:after="0" w:line="240" w:lineRule="auto"/>
      <w:ind w:left="567" w:hanging="567"/>
    </w:pPr>
    <w:rPr>
      <w:rFonts w:ascii="Times New Roman" w:eastAsia="Times New Roman" w:hAnsi="Times New Roman" w:cs="Times New Roman"/>
      <w:sz w:val="24"/>
      <w:szCs w:val="24"/>
    </w:rPr>
  </w:style>
  <w:style w:type="paragraph" w:styleId="Zhlav">
    <w:name w:val="header"/>
    <w:basedOn w:val="Normln"/>
    <w:link w:val="ZhlavChar"/>
    <w:uiPriority w:val="99"/>
    <w:unhideWhenUsed/>
    <w:rsid w:val="0003259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2594"/>
  </w:style>
  <w:style w:type="paragraph" w:styleId="Zpat">
    <w:name w:val="footer"/>
    <w:basedOn w:val="Normln"/>
    <w:link w:val="ZpatChar"/>
    <w:uiPriority w:val="99"/>
    <w:unhideWhenUsed/>
    <w:rsid w:val="00032594"/>
    <w:pPr>
      <w:tabs>
        <w:tab w:val="center" w:pos="4536"/>
        <w:tab w:val="right" w:pos="9072"/>
      </w:tabs>
      <w:spacing w:after="0" w:line="240" w:lineRule="auto"/>
    </w:pPr>
  </w:style>
  <w:style w:type="character" w:customStyle="1" w:styleId="ZpatChar">
    <w:name w:val="Zápatí Char"/>
    <w:basedOn w:val="Standardnpsmoodstavce"/>
    <w:link w:val="Zpat"/>
    <w:uiPriority w:val="99"/>
    <w:rsid w:val="00032594"/>
  </w:style>
  <w:style w:type="paragraph" w:styleId="Textpoznpodarou">
    <w:name w:val="footnote text"/>
    <w:basedOn w:val="Normln"/>
    <w:link w:val="TextpoznpodarouChar"/>
    <w:rsid w:val="00F461F2"/>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rsid w:val="00F461F2"/>
    <w:rPr>
      <w:rFonts w:ascii="Times New Roman" w:eastAsia="Times New Roman" w:hAnsi="Times New Roman" w:cs="Times New Roman"/>
      <w:sz w:val="20"/>
      <w:szCs w:val="20"/>
      <w:lang w:eastAsia="cs-CZ"/>
    </w:rPr>
  </w:style>
  <w:style w:type="character" w:customStyle="1" w:styleId="Znakypropoznmkupodarou">
    <w:name w:val="Znaky pro poznámku pod čarou"/>
    <w:rsid w:val="00F461F2"/>
  </w:style>
  <w:style w:type="paragraph" w:styleId="Normlnweb">
    <w:name w:val="Normal (Web)"/>
    <w:basedOn w:val="Normln"/>
    <w:uiPriority w:val="99"/>
    <w:semiHidden/>
    <w:unhideWhenUsed/>
    <w:rsid w:val="00A939C2"/>
    <w:pPr>
      <w:spacing w:before="100" w:beforeAutospacing="1" w:after="119"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5782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5782D"/>
    <w:pPr>
      <w:ind w:left="720"/>
      <w:contextualSpacing/>
    </w:pPr>
  </w:style>
  <w:style w:type="paragraph" w:styleId="Textbubliny">
    <w:name w:val="Balloon Text"/>
    <w:basedOn w:val="Normln"/>
    <w:link w:val="TextbublinyChar"/>
    <w:uiPriority w:val="99"/>
    <w:semiHidden/>
    <w:unhideWhenUsed/>
    <w:rsid w:val="0036032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6032C"/>
    <w:rPr>
      <w:rFonts w:ascii="Tahoma" w:hAnsi="Tahoma" w:cs="Tahoma"/>
      <w:sz w:val="16"/>
      <w:szCs w:val="16"/>
    </w:rPr>
  </w:style>
  <w:style w:type="character" w:styleId="Hypertextovodkaz">
    <w:name w:val="Hyperlink"/>
    <w:basedOn w:val="Standardnpsmoodstavce"/>
    <w:uiPriority w:val="99"/>
    <w:unhideWhenUsed/>
    <w:rsid w:val="0069168E"/>
    <w:rPr>
      <w:color w:val="0000FF" w:themeColor="hyperlink"/>
      <w:u w:val="single"/>
    </w:rPr>
  </w:style>
  <w:style w:type="paragraph" w:customStyle="1" w:styleId="PointManual">
    <w:name w:val="Point Manual"/>
    <w:basedOn w:val="Normln"/>
    <w:rsid w:val="00FC56CA"/>
    <w:pPr>
      <w:spacing w:before="200" w:after="0" w:line="240" w:lineRule="auto"/>
      <w:ind w:left="567" w:hanging="567"/>
    </w:pPr>
    <w:rPr>
      <w:rFonts w:ascii="Times New Roman" w:eastAsia="Times New Roman" w:hAnsi="Times New Roman" w:cs="Times New Roman"/>
      <w:sz w:val="24"/>
      <w:szCs w:val="24"/>
    </w:rPr>
  </w:style>
  <w:style w:type="paragraph" w:styleId="Zhlav">
    <w:name w:val="header"/>
    <w:basedOn w:val="Normln"/>
    <w:link w:val="ZhlavChar"/>
    <w:uiPriority w:val="99"/>
    <w:unhideWhenUsed/>
    <w:rsid w:val="0003259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2594"/>
  </w:style>
  <w:style w:type="paragraph" w:styleId="Zpat">
    <w:name w:val="footer"/>
    <w:basedOn w:val="Normln"/>
    <w:link w:val="ZpatChar"/>
    <w:uiPriority w:val="99"/>
    <w:unhideWhenUsed/>
    <w:rsid w:val="00032594"/>
    <w:pPr>
      <w:tabs>
        <w:tab w:val="center" w:pos="4536"/>
        <w:tab w:val="right" w:pos="9072"/>
      </w:tabs>
      <w:spacing w:after="0" w:line="240" w:lineRule="auto"/>
    </w:pPr>
  </w:style>
  <w:style w:type="character" w:customStyle="1" w:styleId="ZpatChar">
    <w:name w:val="Zápatí Char"/>
    <w:basedOn w:val="Standardnpsmoodstavce"/>
    <w:link w:val="Zpat"/>
    <w:uiPriority w:val="99"/>
    <w:rsid w:val="00032594"/>
  </w:style>
  <w:style w:type="paragraph" w:styleId="Textpoznpodarou">
    <w:name w:val="footnote text"/>
    <w:basedOn w:val="Normln"/>
    <w:link w:val="TextpoznpodarouChar"/>
    <w:rsid w:val="00F461F2"/>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rsid w:val="00F461F2"/>
    <w:rPr>
      <w:rFonts w:ascii="Times New Roman" w:eastAsia="Times New Roman" w:hAnsi="Times New Roman" w:cs="Times New Roman"/>
      <w:sz w:val="20"/>
      <w:szCs w:val="20"/>
      <w:lang w:eastAsia="cs-CZ"/>
    </w:rPr>
  </w:style>
  <w:style w:type="character" w:customStyle="1" w:styleId="Znakypropoznmkupodarou">
    <w:name w:val="Znaky pro poznámku pod čarou"/>
    <w:rsid w:val="00F461F2"/>
  </w:style>
  <w:style w:type="paragraph" w:styleId="Normlnweb">
    <w:name w:val="Normal (Web)"/>
    <w:basedOn w:val="Normln"/>
    <w:uiPriority w:val="99"/>
    <w:semiHidden/>
    <w:unhideWhenUsed/>
    <w:rsid w:val="00A939C2"/>
    <w:pPr>
      <w:spacing w:before="100" w:beforeAutospacing="1" w:after="119"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49271">
      <w:bodyDiv w:val="1"/>
      <w:marLeft w:val="0"/>
      <w:marRight w:val="0"/>
      <w:marTop w:val="0"/>
      <w:marBottom w:val="0"/>
      <w:divBdr>
        <w:top w:val="none" w:sz="0" w:space="0" w:color="auto"/>
        <w:left w:val="none" w:sz="0" w:space="0" w:color="auto"/>
        <w:bottom w:val="none" w:sz="0" w:space="0" w:color="auto"/>
        <w:right w:val="none" w:sz="0" w:space="0" w:color="auto"/>
      </w:divBdr>
    </w:div>
    <w:div w:id="37103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ia.developpement-durable.gouv.f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539</TotalTime>
  <Pages>10</Pages>
  <Words>4051</Words>
  <Characters>23901</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
    </vt:vector>
  </TitlesOfParts>
  <Company>Česká inspekce životního prostředí</Company>
  <LinksUpToDate>false</LinksUpToDate>
  <CharactersWithSpaces>27897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Němcová</dc:creator>
  <cp:keywords/>
  <dc:description/>
  <cp:lastModifiedBy>Lenka  Němcová</cp:lastModifiedBy>
  <cp:revision>3</cp:revision>
  <cp:lastPrinted>2013-06-27T08:43:00Z</cp:lastPrinted>
  <dcterms:created xsi:type="dcterms:W3CDTF">2013-06-26T07:47:00Z</dcterms:created>
  <dcterms:modified xsi:type="dcterms:W3CDTF">2013-06-28T12:01:00Z</dcterms:modified>
</cp:coreProperties>
</file>