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9" w:rsidRDefault="00FF41D9" w:rsidP="008D74F9">
      <w:pPr>
        <w:spacing w:line="259" w:lineRule="auto"/>
      </w:pPr>
      <w:bookmarkStart w:id="0" w:name="_GoBack"/>
      <w:bookmarkEnd w:id="0"/>
      <w:r>
        <w:t>25</w:t>
      </w:r>
      <w:r w:rsidR="00DB5F33">
        <w:t>. června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FF41D9" w:rsidRPr="002721A6" w:rsidRDefault="00FF41D9" w:rsidP="00FF41D9">
      <w:pPr>
        <w:pStyle w:val="NadpisTiskovzprvy"/>
        <w:rPr>
          <w:sz w:val="27"/>
          <w:szCs w:val="27"/>
        </w:rPr>
      </w:pPr>
      <w:r w:rsidRPr="002721A6">
        <w:rPr>
          <w:sz w:val="27"/>
          <w:szCs w:val="27"/>
        </w:rPr>
        <w:t>Inspektoři z České inspekce životního prostředí v Olomouckém kraji provedli vloni 1</w:t>
      </w:r>
      <w:r>
        <w:rPr>
          <w:sz w:val="27"/>
          <w:szCs w:val="27"/>
        </w:rPr>
        <w:t>244</w:t>
      </w:r>
      <w:r w:rsidRPr="002721A6">
        <w:rPr>
          <w:sz w:val="27"/>
          <w:szCs w:val="27"/>
        </w:rPr>
        <w:t xml:space="preserve"> kontrol a </w:t>
      </w:r>
      <w:r w:rsidR="00C84951">
        <w:rPr>
          <w:sz w:val="27"/>
          <w:szCs w:val="27"/>
        </w:rPr>
        <w:t>uložili 183</w:t>
      </w:r>
      <w:r w:rsidRPr="002721A6">
        <w:rPr>
          <w:sz w:val="27"/>
          <w:szCs w:val="27"/>
        </w:rPr>
        <w:t xml:space="preserve"> </w:t>
      </w:r>
      <w:r w:rsidR="00C84951">
        <w:rPr>
          <w:sz w:val="27"/>
          <w:szCs w:val="27"/>
        </w:rPr>
        <w:t>pravomocných pokut za více než 7</w:t>
      </w:r>
      <w:r w:rsidR="00C306EB">
        <w:rPr>
          <w:sz w:val="27"/>
          <w:szCs w:val="27"/>
        </w:rPr>
        <w:t>,5</w:t>
      </w:r>
      <w:r w:rsidR="00C84951">
        <w:rPr>
          <w:sz w:val="27"/>
          <w:szCs w:val="27"/>
        </w:rPr>
        <w:t xml:space="preserve"> milionu</w:t>
      </w:r>
      <w:r w:rsidRPr="002721A6">
        <w:rPr>
          <w:sz w:val="27"/>
          <w:szCs w:val="27"/>
        </w:rPr>
        <w:t xml:space="preserve"> korun  </w:t>
      </w:r>
    </w:p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FF41D9">
        <w:rPr>
          <w:rStyle w:val="Siln"/>
          <w:rFonts w:ascii="Minion Pro" w:hAnsi="Minion Pro"/>
        </w:rPr>
        <w:t xml:space="preserve"> </w:t>
      </w:r>
      <w:r w:rsidR="00FF41D9" w:rsidRPr="00AE6300">
        <w:rPr>
          <w:rStyle w:val="Siln"/>
          <w:rFonts w:ascii="Minion Pro" w:hAnsi="Minion Pro"/>
        </w:rPr>
        <w:t>V Olomouckém kraji provedli inspektoři 1</w:t>
      </w:r>
      <w:r w:rsidR="00C306EB">
        <w:rPr>
          <w:rStyle w:val="Siln"/>
          <w:rFonts w:ascii="Minion Pro" w:hAnsi="Minion Pro"/>
        </w:rPr>
        <w:t>244</w:t>
      </w:r>
      <w:r w:rsidR="00FF41D9" w:rsidRPr="00AE6300">
        <w:rPr>
          <w:rStyle w:val="Siln"/>
          <w:rFonts w:ascii="Minion Pro" w:hAnsi="Minion Pro"/>
        </w:rPr>
        <w:t xml:space="preserve"> kontrol a </w:t>
      </w:r>
      <w:r w:rsidR="00C84951">
        <w:rPr>
          <w:rStyle w:val="Siln"/>
          <w:rFonts w:ascii="Minion Pro" w:hAnsi="Minion Pro"/>
        </w:rPr>
        <w:t>uložili 183</w:t>
      </w:r>
      <w:r w:rsidR="00FF41D9" w:rsidRPr="00AE6300">
        <w:rPr>
          <w:rStyle w:val="Siln"/>
          <w:rFonts w:ascii="Minion Pro" w:hAnsi="Minion Pro"/>
        </w:rPr>
        <w:t xml:space="preserve"> </w:t>
      </w:r>
      <w:r w:rsidR="00C84951">
        <w:rPr>
          <w:rStyle w:val="Siln"/>
          <w:rFonts w:ascii="Minion Pro" w:hAnsi="Minion Pro"/>
        </w:rPr>
        <w:t xml:space="preserve">pravomocných pokut v celkové výši </w:t>
      </w:r>
      <w:r w:rsidR="00C84951">
        <w:rPr>
          <w:rFonts w:ascii="Minion Pro" w:hAnsi="Minion Pro"/>
          <w:b/>
          <w:bCs/>
        </w:rPr>
        <w:t>7 748</w:t>
      </w:r>
      <w:r w:rsidR="00C306EB">
        <w:rPr>
          <w:rFonts w:ascii="Minion Pro" w:hAnsi="Minion Pro"/>
          <w:b/>
          <w:bCs/>
        </w:rPr>
        <w:t> </w:t>
      </w:r>
      <w:r w:rsidR="00C84951">
        <w:rPr>
          <w:rFonts w:ascii="Minion Pro" w:hAnsi="Minion Pro"/>
          <w:b/>
          <w:bCs/>
        </w:rPr>
        <w:t>551</w:t>
      </w:r>
      <w:r w:rsidR="00C306EB">
        <w:rPr>
          <w:rFonts w:ascii="Minion Pro" w:hAnsi="Minion Pro"/>
          <w:b/>
          <w:bCs/>
        </w:rPr>
        <w:t xml:space="preserve"> </w:t>
      </w:r>
      <w:r w:rsidR="00FF41D9" w:rsidRPr="00AE6300">
        <w:rPr>
          <w:rFonts w:ascii="Minion Pro" w:hAnsi="Minion Pro"/>
          <w:b/>
          <w:bCs/>
        </w:rPr>
        <w:t>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 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vraznn"/>
          <w:rFonts w:ascii="Minion Pro" w:hAnsi="Minion Pro"/>
        </w:rPr>
        <w:t>„</w:t>
      </w:r>
      <w:r w:rsidR="0019356D">
        <w:rPr>
          <w:rStyle w:val="Zvraznn"/>
          <w:rFonts w:ascii="Minion Pro" w:hAnsi="Minion Pro"/>
        </w:rPr>
        <w:t xml:space="preserve">Při </w:t>
      </w:r>
      <w:r w:rsidR="00BE347D">
        <w:rPr>
          <w:rStyle w:val="Zvraznn"/>
          <w:rFonts w:ascii="Minion Pro" w:hAnsi="Minion Pro"/>
        </w:rPr>
        <w:t xml:space="preserve">zhruba stejné intenzitě kontrol jako v roce 2016 </w:t>
      </w:r>
      <w:r w:rsidR="0084754E">
        <w:rPr>
          <w:rStyle w:val="Zvraznn"/>
          <w:rFonts w:ascii="Minion Pro" w:hAnsi="Minion Pro"/>
        </w:rPr>
        <w:t xml:space="preserve">nebylo zjištěno tolik </w:t>
      </w:r>
      <w:r w:rsidR="00BE347D">
        <w:rPr>
          <w:rStyle w:val="Zvraznn"/>
          <w:rFonts w:ascii="Minion Pro" w:hAnsi="Minion Pro"/>
        </w:rPr>
        <w:t>porušení zákona</w:t>
      </w:r>
      <w:r w:rsidR="0084754E">
        <w:rPr>
          <w:rStyle w:val="Zvraznn"/>
          <w:rFonts w:ascii="Minion Pro" w:hAnsi="Minion Pro"/>
        </w:rPr>
        <w:t>.</w:t>
      </w:r>
      <w:r w:rsidR="00FF41D9">
        <w:rPr>
          <w:rStyle w:val="Zvraznn"/>
          <w:rFonts w:ascii="Minion Pro" w:hAnsi="Minion Pro"/>
        </w:rPr>
        <w:t xml:space="preserve"> </w:t>
      </w:r>
      <w:r w:rsidR="0084754E">
        <w:rPr>
          <w:rStyle w:val="Zvraznn"/>
          <w:rFonts w:ascii="Minion Pro" w:hAnsi="Minion Pro"/>
        </w:rPr>
        <w:t xml:space="preserve">Tato data potvrzují trend rostoucí disciplíny u větších podniků, zejména </w:t>
      </w:r>
      <w:r w:rsidR="000F162A">
        <w:rPr>
          <w:rStyle w:val="Zvraznn"/>
          <w:rFonts w:ascii="Minion Pro" w:hAnsi="Minion Pro"/>
        </w:rPr>
        <w:t xml:space="preserve">tedy </w:t>
      </w:r>
      <w:r w:rsidR="0084754E">
        <w:rPr>
          <w:rStyle w:val="Zvraznn"/>
          <w:rFonts w:ascii="Minion Pro" w:hAnsi="Minion Pro"/>
        </w:rPr>
        <w:t xml:space="preserve">u </w:t>
      </w:r>
      <w:r w:rsidR="000F162A">
        <w:rPr>
          <w:rStyle w:val="Zvraznn"/>
          <w:rFonts w:ascii="Minion Pro" w:hAnsi="Minion Pro"/>
        </w:rPr>
        <w:t>zhruba</w:t>
      </w:r>
      <w:r w:rsidR="0084754E">
        <w:rPr>
          <w:rStyle w:val="Zvraznn"/>
          <w:rFonts w:ascii="Minion Pro" w:hAnsi="Minion Pro"/>
        </w:rPr>
        <w:t xml:space="preserve"> 2 200 </w:t>
      </w:r>
      <w:r w:rsidR="00BE347D">
        <w:rPr>
          <w:rStyle w:val="Zvraznn"/>
          <w:rFonts w:ascii="Minion Pro" w:hAnsi="Minion Pro"/>
        </w:rPr>
        <w:t xml:space="preserve">zařízení </w:t>
      </w:r>
      <w:r w:rsidR="0019356D">
        <w:rPr>
          <w:rStyle w:val="Zvraznn"/>
          <w:rFonts w:ascii="Minion Pro" w:hAnsi="Minion Pro"/>
        </w:rPr>
        <w:t>podl</w:t>
      </w:r>
      <w:r w:rsidR="00A53163">
        <w:rPr>
          <w:rStyle w:val="Zvraznn"/>
          <w:rFonts w:ascii="Minion Pro" w:hAnsi="Minion Pro"/>
        </w:rPr>
        <w:t xml:space="preserve">éhajících zákonu o </w:t>
      </w:r>
      <w:r w:rsidR="0084754E">
        <w:rPr>
          <w:rStyle w:val="Zvraznn"/>
          <w:rFonts w:ascii="Minion Pro" w:hAnsi="Minion Pro"/>
        </w:rPr>
        <w:t>integrované prevenci a přísným evropským normám</w:t>
      </w:r>
      <w:r w:rsidR="00BF307F" w:rsidRPr="006F5411">
        <w:rPr>
          <w:rStyle w:val="Zv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 w:rsidRPr="00B00DE9">
        <w:rPr>
          <w:rFonts w:ascii="Minion Pro" w:eastAsia="Times New Roman" w:hAnsi="Minion Pro" w:cs="Times New Roman"/>
          <w:color w:val="auto"/>
          <w:lang w:eastAsia="cs-CZ"/>
        </w:rPr>
        <w:t>Z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c</w:t>
      </w:r>
      <w:r w:rsidR="006F5411" w:rsidRPr="00B00DE9">
        <w:rPr>
          <w:rFonts w:ascii="Minion Pro" w:eastAsia="Times New Roman" w:hAnsi="Minion Pro" w:cs="Times New Roman"/>
          <w:color w:val="auto"/>
          <w:lang w:eastAsia="cs-CZ"/>
        </w:rPr>
        <w:t>elorepublikového hledi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ska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činila v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loni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nejvyšší p</w:t>
      </w:r>
      <w:r w:rsidR="00FF41D9" w:rsidRPr="00B00DE9">
        <w:rPr>
          <w:rFonts w:ascii="Minion Pro" w:eastAsia="Times New Roman" w:hAnsi="Minion Pro" w:cs="Times New Roman"/>
          <w:color w:val="auto"/>
          <w:lang w:eastAsia="cs-CZ"/>
        </w:rPr>
        <w:t>o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kuta dva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miliony koruny. Dostaly ji tři subjekty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. </w:t>
      </w:r>
      <w:r w:rsidR="00DB5F33" w:rsidRPr="00B00DE9">
        <w:rPr>
          <w:rFonts w:ascii="Minion Pro" w:eastAsia="Times New Roman" w:hAnsi="Minion Pro" w:cs="Times New Roman"/>
          <w:color w:val="auto"/>
          <w:lang w:eastAsia="cs-CZ"/>
        </w:rPr>
        <w:t>Správa železniční do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pravní cesty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s. p.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za kácení velkého množství dřevin 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bez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povolení podél tratí na území celé republiky.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Dále byla dvěma miliony potrestána </w:t>
      </w:r>
      <w:r w:rsidR="00403FA9" w:rsidRPr="00B00DE9">
        <w:rPr>
          <w:rFonts w:ascii="Minion Pro" w:eastAsia="Times New Roman" w:hAnsi="Minion Pro" w:cs="Times New Roman"/>
          <w:color w:val="auto"/>
          <w:lang w:eastAsia="cs-CZ"/>
        </w:rPr>
        <w:t>společnost KLIO, s.r.o.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za opakované vyp</w:t>
      </w:r>
      <w:r w:rsidR="000960AC" w:rsidRPr="00B00DE9">
        <w:rPr>
          <w:rFonts w:ascii="Minion Pro" w:eastAsia="Times New Roman" w:hAnsi="Minion Pro" w:cs="Times New Roman"/>
          <w:color w:val="auto"/>
          <w:lang w:eastAsia="cs-CZ"/>
        </w:rPr>
        <w:t>ouštění nedostatečně předčištěných srážkových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vod z čistírny odpadních vod do Zličínského potoka.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Třetím subjektem s touto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výší sankce byla společnost LAGRON</w:t>
      </w:r>
      <w:r w:rsidR="00CA2C8B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s.r.o.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, která nesplnila 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>opatření k nápravě – nezalesn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ila</w:t>
      </w:r>
      <w:r w:rsidR="00555F15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deset hektarů holin vzniklých po rozsáhlých těžbách u obcí Stebno a Chvalov na Ústecku. </w:t>
      </w:r>
      <w:r w:rsidR="00AD754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</w:p>
    <w:p w:rsidR="00B00DE9" w:rsidRPr="00B00DE9" w:rsidRDefault="00B00DE9" w:rsidP="006F5CE0">
      <w:pPr>
        <w:pStyle w:val="Default"/>
        <w:rPr>
          <w:rFonts w:ascii="Minion Pro" w:hAnsi="Minion Pro"/>
          <w:bCs/>
        </w:rPr>
      </w:pPr>
    </w:p>
    <w:p w:rsidR="00F5467A" w:rsidRPr="00B00DE9" w:rsidRDefault="00B630AF" w:rsidP="00B00DE9">
      <w:pPr>
        <w:pStyle w:val="Default"/>
        <w:rPr>
          <w:rFonts w:ascii="Minion Pro" w:eastAsia="Times New Roman" w:hAnsi="Minion Pro" w:cs="Times New Roman"/>
          <w:color w:val="auto"/>
          <w:lang w:eastAsia="cs-CZ"/>
        </w:rPr>
      </w:pP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Nejvyšší pokuta vyměřená Oblastním inspektorátem Olomouc se týkala obce Tršice, která </w:t>
      </w:r>
      <w:r w:rsidR="001F5B01" w:rsidRPr="00B00DE9">
        <w:rPr>
          <w:rFonts w:ascii="Minion Pro" w:eastAsia="Times New Roman" w:hAnsi="Minion Pro" w:cs="Times New Roman"/>
          <w:color w:val="auto"/>
          <w:lang w:eastAsia="cs-CZ"/>
        </w:rPr>
        <w:t>od února 2015 do března 2016 odebrala celkem 70 485 m</w:t>
      </w:r>
      <w:r w:rsidR="001F5B01" w:rsidRPr="00C84951">
        <w:rPr>
          <w:rFonts w:ascii="Minion Pro" w:eastAsia="Times New Roman" w:hAnsi="Minion Pro" w:cs="Times New Roman"/>
          <w:color w:val="auto"/>
          <w:vertAlign w:val="superscript"/>
          <w:lang w:eastAsia="cs-CZ"/>
        </w:rPr>
        <w:t>3</w:t>
      </w:r>
      <w:r w:rsidR="001F5B0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podzemních vod bez platného povolení k nakládání s vodami.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Uložena jí byla pokuta ve výši 1 762 125 korun. </w:t>
      </w:r>
      <w:r w:rsidR="00F5467A" w:rsidRPr="00B00DE9">
        <w:rPr>
          <w:rFonts w:ascii="Minion Pro" w:hAnsi="Minion Pro"/>
          <w:i/>
          <w:iCs/>
          <w:lang w:eastAsia="cs-CZ"/>
        </w:rPr>
        <w:t>„</w:t>
      </w:r>
      <w:r w:rsidR="001F5B01" w:rsidRPr="00B00DE9">
        <w:rPr>
          <w:rFonts w:ascii="Minion Pro" w:hAnsi="Minion Pro"/>
          <w:i/>
          <w:iCs/>
          <w:lang w:eastAsia="cs-CZ"/>
        </w:rPr>
        <w:t>Při stanovení výše sankce výpočtem byla použita nejnižší sazba dle vodního zákona, tedy 25 Kč/m</w:t>
      </w:r>
      <w:r w:rsidR="001F5B01" w:rsidRPr="00C84951">
        <w:rPr>
          <w:rFonts w:ascii="Minion Pro" w:hAnsi="Minion Pro"/>
          <w:i/>
          <w:iCs/>
          <w:vertAlign w:val="superscript"/>
          <w:lang w:eastAsia="cs-CZ"/>
        </w:rPr>
        <w:t xml:space="preserve">3 </w:t>
      </w:r>
      <w:r w:rsidR="001F5B01" w:rsidRPr="00B00DE9">
        <w:rPr>
          <w:rFonts w:ascii="Minion Pro" w:hAnsi="Minion Pro"/>
          <w:i/>
          <w:iCs/>
          <w:lang w:eastAsia="cs-CZ"/>
        </w:rPr>
        <w:t>nedovoleně odebraných podzemních vod (maximální je 70 Kč/m</w:t>
      </w:r>
      <w:r w:rsidR="001F5B01" w:rsidRPr="00C84951">
        <w:rPr>
          <w:rFonts w:ascii="Minion Pro" w:hAnsi="Minion Pro"/>
          <w:i/>
          <w:iCs/>
          <w:vertAlign w:val="superscript"/>
          <w:lang w:eastAsia="cs-CZ"/>
        </w:rPr>
        <w:t>3</w:t>
      </w:r>
      <w:r w:rsidR="001F5B01" w:rsidRPr="00B00DE9">
        <w:rPr>
          <w:rFonts w:ascii="Minion Pro" w:hAnsi="Minion Pro"/>
          <w:i/>
          <w:iCs/>
          <w:lang w:eastAsia="cs-CZ"/>
        </w:rPr>
        <w:t>).</w:t>
      </w:r>
      <w:r w:rsidRPr="00B00DE9">
        <w:rPr>
          <w:rFonts w:ascii="Minion Pro" w:hAnsi="Minion Pro"/>
          <w:i/>
          <w:iCs/>
          <w:lang w:eastAsia="cs-CZ"/>
        </w:rPr>
        <w:t xml:space="preserve"> </w:t>
      </w:r>
      <w:r w:rsidR="001F5B01" w:rsidRPr="00B00DE9">
        <w:rPr>
          <w:rFonts w:ascii="Minion Pro" w:hAnsi="Minion Pro"/>
          <w:i/>
          <w:iCs/>
          <w:lang w:eastAsia="cs-CZ"/>
        </w:rPr>
        <w:t xml:space="preserve">Obec se odvolala, rozhodnutí ČIŽP </w:t>
      </w:r>
      <w:r w:rsidRPr="00B00DE9">
        <w:rPr>
          <w:rFonts w:ascii="Minion Pro" w:hAnsi="Minion Pro"/>
          <w:i/>
          <w:iCs/>
          <w:lang w:eastAsia="cs-CZ"/>
        </w:rPr>
        <w:t xml:space="preserve">ale </w:t>
      </w:r>
      <w:r w:rsidR="001F5B01" w:rsidRPr="00B00DE9">
        <w:rPr>
          <w:rFonts w:ascii="Minion Pro" w:hAnsi="Minion Pro"/>
          <w:i/>
          <w:iCs/>
          <w:lang w:eastAsia="cs-CZ"/>
        </w:rPr>
        <w:t xml:space="preserve">bylo </w:t>
      </w:r>
      <w:r w:rsidRPr="00B00DE9">
        <w:rPr>
          <w:rFonts w:ascii="Minion Pro" w:hAnsi="Minion Pro"/>
          <w:i/>
          <w:iCs/>
          <w:lang w:eastAsia="cs-CZ"/>
        </w:rPr>
        <w:t xml:space="preserve">v říjnu 2017 </w:t>
      </w:r>
      <w:r w:rsidR="001F5B01" w:rsidRPr="00B00DE9">
        <w:rPr>
          <w:rFonts w:ascii="Minion Pro" w:hAnsi="Minion Pro"/>
          <w:i/>
          <w:iCs/>
          <w:lang w:eastAsia="cs-CZ"/>
        </w:rPr>
        <w:t>potvrzeno MŽP</w:t>
      </w:r>
      <w:r w:rsidR="00F5467A" w:rsidRPr="00B00DE9">
        <w:rPr>
          <w:rFonts w:ascii="Minion Pro" w:hAnsi="Minion Pro"/>
          <w:i/>
          <w:iCs/>
          <w:lang w:eastAsia="cs-CZ"/>
        </w:rPr>
        <w:t>,“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uvedl Radek Pallós, ředitel Oblastního inspektorátu ČIŽP Olomouc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.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Druhou nejvyšší pokutu, 500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tisíc korun, dostala společnost 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>PRECHEZA</w:t>
      </w:r>
      <w:r w:rsidRPr="00B00DE9">
        <w:rPr>
          <w:rFonts w:ascii="Minion Pro" w:eastAsia="Times New Roman" w:hAnsi="Minion Pro" w:cs="Times New Roman"/>
          <w:color w:val="auto"/>
          <w:lang w:eastAsia="cs-CZ"/>
        </w:rPr>
        <w:t>, a.s.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1F5B0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Provozovatel zařízení na výrobu kyseliny sírové nedodržel při jejím provozu 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>p</w:t>
      </w:r>
      <w:r w:rsidR="001F5B01" w:rsidRPr="00B00DE9">
        <w:rPr>
          <w:rFonts w:ascii="Minion Pro" w:eastAsia="Times New Roman" w:hAnsi="Minion Pro" w:cs="Times New Roman"/>
          <w:color w:val="auto"/>
          <w:lang w:eastAsia="cs-CZ"/>
        </w:rPr>
        <w:t>odmínku integrovaného povolen</w:t>
      </w:r>
      <w:r w:rsidR="005A4BFD" w:rsidRPr="00B00DE9">
        <w:rPr>
          <w:rFonts w:ascii="Minion Pro" w:eastAsia="Times New Roman" w:hAnsi="Minion Pro" w:cs="Times New Roman"/>
          <w:color w:val="auto"/>
          <w:lang w:eastAsia="cs-CZ"/>
        </w:rPr>
        <w:t>í.</w:t>
      </w:r>
      <w:r w:rsidR="001F5B01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</w:t>
      </w:r>
      <w:r w:rsidR="001F5B01" w:rsidRPr="00C84951">
        <w:rPr>
          <w:rFonts w:ascii="Minion Pro" w:eastAsia="Times New Roman" w:hAnsi="Minion Pro" w:cs="Times New Roman"/>
          <w:i/>
          <w:color w:val="auto"/>
          <w:lang w:eastAsia="cs-CZ"/>
        </w:rPr>
        <w:t xml:space="preserve">„Nájezd výrobny kyseliny sírové do provozu po dlouhodobé odstávce </w:t>
      </w:r>
      <w:r w:rsidR="00F5467A" w:rsidRPr="00C84951">
        <w:rPr>
          <w:rFonts w:ascii="Minion Pro" w:eastAsia="Times New Roman" w:hAnsi="Minion Pro" w:cs="Times New Roman"/>
          <w:i/>
          <w:color w:val="auto"/>
          <w:lang w:eastAsia="cs-CZ"/>
        </w:rPr>
        <w:t xml:space="preserve">je </w:t>
      </w:r>
      <w:r w:rsidR="001F5B01" w:rsidRPr="00C84951">
        <w:rPr>
          <w:rFonts w:ascii="Minion Pro" w:eastAsia="Times New Roman" w:hAnsi="Minion Pro" w:cs="Times New Roman"/>
          <w:i/>
          <w:color w:val="auto"/>
          <w:lang w:eastAsia="cs-CZ"/>
        </w:rPr>
        <w:t xml:space="preserve">vždy </w:t>
      </w:r>
      <w:r w:rsidR="00F5467A" w:rsidRPr="00C84951">
        <w:rPr>
          <w:rFonts w:ascii="Minion Pro" w:eastAsia="Times New Roman" w:hAnsi="Minion Pro" w:cs="Times New Roman"/>
          <w:i/>
          <w:color w:val="auto"/>
          <w:lang w:eastAsia="cs-CZ"/>
        </w:rPr>
        <w:t xml:space="preserve">nutné </w:t>
      </w:r>
      <w:r w:rsidR="001F5B01" w:rsidRPr="00C84951">
        <w:rPr>
          <w:rFonts w:ascii="Minion Pro" w:eastAsia="Times New Roman" w:hAnsi="Minion Pro" w:cs="Times New Roman"/>
          <w:i/>
          <w:color w:val="auto"/>
          <w:lang w:eastAsia="cs-CZ"/>
        </w:rPr>
        <w:t>v dostatečném časovém předstihu (1 den) oznámit ČIŽP a orgánům obce.</w:t>
      </w:r>
      <w:r w:rsidR="00F5467A" w:rsidRPr="00C84951">
        <w:rPr>
          <w:rFonts w:ascii="Minion Pro" w:eastAsia="Times New Roman" w:hAnsi="Minion Pro" w:cs="Times New Roman"/>
          <w:i/>
          <w:color w:val="auto"/>
          <w:lang w:eastAsia="cs-CZ"/>
        </w:rPr>
        <w:t xml:space="preserve"> </w:t>
      </w:r>
      <w:r w:rsidR="001F5B01" w:rsidRPr="00C84951">
        <w:rPr>
          <w:rFonts w:ascii="Minion Pro" w:eastAsia="Times New Roman" w:hAnsi="Minion Pro" w:cs="Times New Roman"/>
          <w:i/>
          <w:color w:val="auto"/>
          <w:lang w:eastAsia="cs-CZ"/>
        </w:rPr>
        <w:t>Provozovatel</w:t>
      </w:r>
      <w:r w:rsidR="001F5B01" w:rsidRPr="00C84951">
        <w:rPr>
          <w:rFonts w:ascii="Minion Pro" w:hAnsi="Minion Pro"/>
          <w:i/>
          <w:iCs/>
          <w:lang w:eastAsia="cs-CZ"/>
        </w:rPr>
        <w:t xml:space="preserve"> nájezd výroby </w:t>
      </w:r>
      <w:r w:rsidR="00F5467A" w:rsidRPr="00C84951">
        <w:rPr>
          <w:rFonts w:ascii="Minion Pro" w:hAnsi="Minion Pro"/>
          <w:i/>
          <w:iCs/>
          <w:lang w:eastAsia="cs-CZ"/>
        </w:rPr>
        <w:t xml:space="preserve">ale </w:t>
      </w:r>
      <w:r w:rsidR="001F5B01" w:rsidRPr="00C84951">
        <w:rPr>
          <w:rFonts w:ascii="Minion Pro" w:hAnsi="Minion Pro"/>
          <w:i/>
          <w:iCs/>
          <w:lang w:eastAsia="cs-CZ"/>
        </w:rPr>
        <w:t xml:space="preserve">oznámil </w:t>
      </w:r>
      <w:r w:rsidR="00F5467A" w:rsidRPr="00C84951">
        <w:rPr>
          <w:rFonts w:ascii="Minion Pro" w:hAnsi="Minion Pro"/>
          <w:i/>
          <w:iCs/>
          <w:lang w:eastAsia="cs-CZ"/>
        </w:rPr>
        <w:t>tři</w:t>
      </w:r>
      <w:r w:rsidR="001F5B01" w:rsidRPr="00C84951">
        <w:rPr>
          <w:rFonts w:ascii="Minion Pro" w:hAnsi="Minion Pro"/>
          <w:i/>
          <w:iCs/>
          <w:lang w:eastAsia="cs-CZ"/>
        </w:rPr>
        <w:t xml:space="preserve"> hodiny před samotným zapálením síry.</w:t>
      </w:r>
      <w:r w:rsidR="00F5467A" w:rsidRPr="00C84951">
        <w:rPr>
          <w:rFonts w:ascii="Minion Pro" w:hAnsi="Minion Pro"/>
          <w:i/>
          <w:iCs/>
          <w:lang w:eastAsia="cs-CZ"/>
        </w:rPr>
        <w:t xml:space="preserve"> </w:t>
      </w:r>
      <w:r w:rsidR="001F5B01" w:rsidRPr="00C84951">
        <w:rPr>
          <w:rFonts w:ascii="Minion Pro" w:hAnsi="Minion Pro"/>
          <w:i/>
          <w:iCs/>
          <w:lang w:eastAsia="cs-CZ"/>
        </w:rPr>
        <w:t>Poruš</w:t>
      </w:r>
      <w:r w:rsidR="00F5467A" w:rsidRPr="00C84951">
        <w:rPr>
          <w:rFonts w:ascii="Minion Pro" w:hAnsi="Minion Pro"/>
          <w:i/>
          <w:iCs/>
          <w:lang w:eastAsia="cs-CZ"/>
        </w:rPr>
        <w:t>il tak</w:t>
      </w:r>
      <w:r w:rsidR="001F5B01" w:rsidRPr="00C84951">
        <w:rPr>
          <w:rFonts w:ascii="Minion Pro" w:hAnsi="Minion Pro"/>
          <w:i/>
          <w:iCs/>
          <w:lang w:eastAsia="cs-CZ"/>
        </w:rPr>
        <w:t xml:space="preserve"> zákon o integrované prevenci</w:t>
      </w:r>
      <w:r w:rsidR="00F5467A" w:rsidRPr="00C84951">
        <w:rPr>
          <w:rFonts w:ascii="Minion Pro" w:hAnsi="Minion Pro"/>
          <w:i/>
          <w:iCs/>
          <w:lang w:eastAsia="cs-CZ"/>
        </w:rPr>
        <w:t>,“</w:t>
      </w:r>
      <w:r w:rsidR="00F5467A" w:rsidRPr="00B00DE9">
        <w:rPr>
          <w:rFonts w:ascii="Minion Pro" w:eastAsia="Times New Roman" w:hAnsi="Minion Pro" w:cs="Times New Roman"/>
          <w:color w:val="auto"/>
          <w:lang w:eastAsia="cs-CZ"/>
        </w:rPr>
        <w:t xml:space="preserve"> řekl Pallós</w:t>
      </w:r>
      <w:r w:rsidR="001F5B01" w:rsidRPr="00B00DE9">
        <w:rPr>
          <w:rFonts w:ascii="Minion Pro" w:eastAsia="Times New Roman" w:hAnsi="Minion Pro" w:cs="Times New Roman"/>
          <w:color w:val="auto"/>
          <w:lang w:eastAsia="cs-CZ"/>
        </w:rPr>
        <w:t>.</w:t>
      </w:r>
    </w:p>
    <w:p w:rsidR="000A3F6E" w:rsidRDefault="00BB2519">
      <w:pPr>
        <w:pStyle w:val="Normlnweb"/>
      </w:pPr>
      <w:r>
        <w:rPr>
          <w:rFonts w:ascii="Minion Pro" w:hAnsi="Minion Pro"/>
        </w:rPr>
        <w:lastRenderedPageBreak/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vraznn"/>
          <w:rFonts w:ascii="Minion Pro" w:hAnsi="Minion Pro"/>
        </w:rPr>
        <w:t>„V</w:t>
      </w:r>
      <w:r w:rsidR="002E5405">
        <w:rPr>
          <w:rStyle w:val="Zvraznn"/>
          <w:rFonts w:ascii="Minion Pro" w:hAnsi="Minion Pro"/>
        </w:rPr>
        <w:t xml:space="preserve"> roce 2017 byl ve 44 % </w:t>
      </w:r>
      <w:r w:rsidR="006F5411" w:rsidRPr="006F5411">
        <w:rPr>
          <w:rStyle w:val="Zvraznn"/>
          <w:rFonts w:ascii="Minion Pro" w:hAnsi="Minion Pro"/>
        </w:rPr>
        <w:t>pří</w:t>
      </w:r>
      <w:r w:rsidR="000960AC">
        <w:rPr>
          <w:rStyle w:val="Zvraznn"/>
          <w:rFonts w:ascii="Minion Pro" w:hAnsi="Minion Pro"/>
        </w:rPr>
        <w:t xml:space="preserve">padů zjištěn </w:t>
      </w:r>
      <w:r w:rsidR="006F5411" w:rsidRPr="006F5411">
        <w:rPr>
          <w:rStyle w:val="Zvraznn"/>
          <w:rFonts w:ascii="Minion Pro" w:hAnsi="Minion Pro"/>
        </w:rPr>
        <w:t>pachatel v</w:t>
      </w:r>
      <w:r w:rsidR="002E5405">
        <w:rPr>
          <w:rStyle w:val="Zvraznn"/>
          <w:rFonts w:ascii="Minion Pro" w:hAnsi="Minion Pro"/>
        </w:rPr>
        <w:t xml:space="preserve">ietnamské národnosti. </w:t>
      </w:r>
      <w:r w:rsidR="006E4419">
        <w:rPr>
          <w:rStyle w:val="Zvraznn"/>
          <w:rFonts w:ascii="Minion Pro" w:hAnsi="Minion Pro"/>
        </w:rPr>
        <w:t>Předl</w:t>
      </w:r>
      <w:r w:rsidR="002E5405">
        <w:rPr>
          <w:rStyle w:val="Zvraznn"/>
          <w:rFonts w:ascii="Minion Pro" w:hAnsi="Minion Pro"/>
        </w:rPr>
        <w:t xml:space="preserve">oni to bylo dokonce 56 %. Nadále </w:t>
      </w:r>
      <w:r w:rsidR="00F771EF">
        <w:rPr>
          <w:rStyle w:val="Zvraznn"/>
          <w:rFonts w:ascii="Minion Pro" w:hAnsi="Minion Pro"/>
        </w:rPr>
        <w:t>pok</w:t>
      </w:r>
      <w:r w:rsidR="006F5411" w:rsidRPr="006F5411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vraznn"/>
          <w:rFonts w:ascii="Minion Pro" w:hAnsi="Minion Pro"/>
        </w:rPr>
        <w:t xml:space="preserve">ího obchodu se slonovinou, nosorožčími rohy a </w:t>
      </w:r>
      <w:r w:rsidR="002E5405">
        <w:rPr>
          <w:rStyle w:val="Zv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5B" w:rsidRDefault="0054525B" w:rsidP="0098535E">
      <w:pPr>
        <w:spacing w:line="240" w:lineRule="auto"/>
      </w:pPr>
      <w:r>
        <w:separator/>
      </w:r>
    </w:p>
  </w:endnote>
  <w:endnote w:type="continuationSeparator" w:id="0">
    <w:p w:rsidR="0054525B" w:rsidRDefault="0054525B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50" w:rsidRDefault="00B309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50" w:rsidRDefault="00B309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50" w:rsidRDefault="00B309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5B" w:rsidRDefault="0054525B" w:rsidP="0098535E">
      <w:pPr>
        <w:spacing w:line="240" w:lineRule="auto"/>
      </w:pPr>
      <w:r>
        <w:separator/>
      </w:r>
    </w:p>
  </w:footnote>
  <w:footnote w:type="continuationSeparator" w:id="0">
    <w:p w:rsidR="0054525B" w:rsidRDefault="0054525B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50" w:rsidRDefault="00B309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30950" w:rsidRDefault="00D172F1" w:rsidP="00B30950">
    <w:pPr>
      <w:pStyle w:val="CIZPZhlav"/>
    </w:pPr>
    <w:r>
      <w:drawing>
        <wp:anchor distT="0" distB="0" distL="114300" distR="114300" simplePos="0" relativeHeight="251660288" behindDoc="1" locked="1" layoutInCell="1" allowOverlap="1" wp14:anchorId="6E0E8D39" wp14:editId="3F4CC3D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B30950">
      <w:t>editelství ČIŽP, Na Břehu 267/1a, 190 00 Praha 9</w:t>
    </w:r>
  </w:p>
  <w:p w:rsidR="00B30950" w:rsidRDefault="00B30950" w:rsidP="00B30950">
    <w:pPr>
      <w:pStyle w:val="CIZPZhlav"/>
    </w:pPr>
    <w:r>
      <w:t>tel.: +420 222 860 111, podatelna@cizp.cz</w:t>
    </w:r>
  </w:p>
  <w:p w:rsidR="00B30950" w:rsidRDefault="00B30950" w:rsidP="00B30950">
    <w:pPr>
      <w:pStyle w:val="CIZPZhlav"/>
    </w:pPr>
    <w:r>
      <w:t>Tel.: +420 222 860 341 (348), e-mail: jmeno.prijmeni@cizp.cz</w:t>
    </w:r>
  </w:p>
  <w:p w:rsidR="00B30950" w:rsidRDefault="00B30950" w:rsidP="00B30950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B30950">
    <w:pPr>
      <w:pStyle w:val="CIZP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B4D"/>
    <w:multiLevelType w:val="hybridMultilevel"/>
    <w:tmpl w:val="50B82450"/>
    <w:lvl w:ilvl="0" w:tplc="6A641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2A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E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89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335182"/>
    <w:multiLevelType w:val="hybridMultilevel"/>
    <w:tmpl w:val="6A06E3EA"/>
    <w:lvl w:ilvl="0" w:tplc="0500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C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6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A6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8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A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C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6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36102"/>
    <w:rsid w:val="000843D4"/>
    <w:rsid w:val="000960AC"/>
    <w:rsid w:val="000A3F6E"/>
    <w:rsid w:val="000B0F07"/>
    <w:rsid w:val="000F162A"/>
    <w:rsid w:val="0019356D"/>
    <w:rsid w:val="001A197B"/>
    <w:rsid w:val="001A2F14"/>
    <w:rsid w:val="001D69A1"/>
    <w:rsid w:val="001F5B01"/>
    <w:rsid w:val="00220A1A"/>
    <w:rsid w:val="00285E29"/>
    <w:rsid w:val="002E5405"/>
    <w:rsid w:val="002E5DB7"/>
    <w:rsid w:val="003C33D4"/>
    <w:rsid w:val="003D4FC0"/>
    <w:rsid w:val="00403FA9"/>
    <w:rsid w:val="00444136"/>
    <w:rsid w:val="00453764"/>
    <w:rsid w:val="00484F99"/>
    <w:rsid w:val="004A09B4"/>
    <w:rsid w:val="004A22B7"/>
    <w:rsid w:val="004B4EFF"/>
    <w:rsid w:val="004F45BF"/>
    <w:rsid w:val="005133A9"/>
    <w:rsid w:val="0054525B"/>
    <w:rsid w:val="00555F15"/>
    <w:rsid w:val="00582F9B"/>
    <w:rsid w:val="00587FD4"/>
    <w:rsid w:val="00593B80"/>
    <w:rsid w:val="005A4BFD"/>
    <w:rsid w:val="005B4381"/>
    <w:rsid w:val="00621046"/>
    <w:rsid w:val="00695287"/>
    <w:rsid w:val="006E4419"/>
    <w:rsid w:val="006F5411"/>
    <w:rsid w:val="006F5CE0"/>
    <w:rsid w:val="00757418"/>
    <w:rsid w:val="007971C3"/>
    <w:rsid w:val="0084754E"/>
    <w:rsid w:val="008B7F58"/>
    <w:rsid w:val="008D74F9"/>
    <w:rsid w:val="00904937"/>
    <w:rsid w:val="009276F1"/>
    <w:rsid w:val="00930745"/>
    <w:rsid w:val="009458AB"/>
    <w:rsid w:val="0098535E"/>
    <w:rsid w:val="00A0583F"/>
    <w:rsid w:val="00A31D9A"/>
    <w:rsid w:val="00A53163"/>
    <w:rsid w:val="00A63C1D"/>
    <w:rsid w:val="00A74521"/>
    <w:rsid w:val="00A87637"/>
    <w:rsid w:val="00AA3F9D"/>
    <w:rsid w:val="00AD6930"/>
    <w:rsid w:val="00AD7541"/>
    <w:rsid w:val="00B00DE9"/>
    <w:rsid w:val="00B0256D"/>
    <w:rsid w:val="00B20A0F"/>
    <w:rsid w:val="00B30950"/>
    <w:rsid w:val="00B630AF"/>
    <w:rsid w:val="00BA78BE"/>
    <w:rsid w:val="00BB2519"/>
    <w:rsid w:val="00BE347D"/>
    <w:rsid w:val="00BF307F"/>
    <w:rsid w:val="00C306EB"/>
    <w:rsid w:val="00C604B8"/>
    <w:rsid w:val="00C715FC"/>
    <w:rsid w:val="00C84951"/>
    <w:rsid w:val="00C850C9"/>
    <w:rsid w:val="00C91C74"/>
    <w:rsid w:val="00C960A3"/>
    <w:rsid w:val="00C96D70"/>
    <w:rsid w:val="00CA2C8B"/>
    <w:rsid w:val="00CD27CC"/>
    <w:rsid w:val="00CF6317"/>
    <w:rsid w:val="00D172F1"/>
    <w:rsid w:val="00D74307"/>
    <w:rsid w:val="00D92709"/>
    <w:rsid w:val="00DA6C61"/>
    <w:rsid w:val="00DB5F33"/>
    <w:rsid w:val="00E72214"/>
    <w:rsid w:val="00E8372B"/>
    <w:rsid w:val="00E97192"/>
    <w:rsid w:val="00EA58A4"/>
    <w:rsid w:val="00EC1B60"/>
    <w:rsid w:val="00F5467A"/>
    <w:rsid w:val="00F64998"/>
    <w:rsid w:val="00F7148B"/>
    <w:rsid w:val="00F7656B"/>
    <w:rsid w:val="00F771EF"/>
    <w:rsid w:val="00FE0CD3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30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30A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752D-42B7-47DF-A165-AB81604E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Nastoupilová Radka </cp:lastModifiedBy>
  <cp:revision>2</cp:revision>
  <cp:lastPrinted>2017-04-19T07:20:00Z</cp:lastPrinted>
  <dcterms:created xsi:type="dcterms:W3CDTF">2018-06-22T16:18:00Z</dcterms:created>
  <dcterms:modified xsi:type="dcterms:W3CDTF">2018-06-22T16:18:00Z</dcterms:modified>
</cp:coreProperties>
</file>