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E1" w:rsidRPr="00573360" w:rsidRDefault="00BF4287" w:rsidP="00BF4287">
      <w:pPr>
        <w:pStyle w:val="Normlnweb"/>
        <w:jc w:val="center"/>
        <w:rPr>
          <w:rStyle w:val="Siln"/>
          <w:color w:val="4F4F4F"/>
          <w:sz w:val="28"/>
          <w:szCs w:val="28"/>
        </w:rPr>
      </w:pPr>
      <w:r w:rsidRPr="00573360">
        <w:rPr>
          <w:rStyle w:val="Siln"/>
          <w:color w:val="4F4F4F"/>
          <w:sz w:val="28"/>
          <w:szCs w:val="28"/>
        </w:rPr>
        <w:t xml:space="preserve">Zápis z 36. </w:t>
      </w:r>
      <w:r w:rsidR="00451C20">
        <w:rPr>
          <w:rStyle w:val="Siln"/>
          <w:color w:val="4F4F4F"/>
          <w:sz w:val="28"/>
          <w:szCs w:val="28"/>
        </w:rPr>
        <w:t>p</w:t>
      </w:r>
      <w:r w:rsidRPr="00573360">
        <w:rPr>
          <w:rStyle w:val="Siln"/>
          <w:color w:val="4F4F4F"/>
          <w:sz w:val="28"/>
          <w:szCs w:val="28"/>
        </w:rPr>
        <w:t>orady pro mezinárodní spolupráci a 2</w:t>
      </w:r>
      <w:r w:rsidR="00427A70">
        <w:rPr>
          <w:rStyle w:val="Siln"/>
          <w:color w:val="4F4F4F"/>
          <w:sz w:val="28"/>
          <w:szCs w:val="28"/>
        </w:rPr>
        <w:t>1</w:t>
      </w:r>
      <w:r w:rsidRPr="00573360">
        <w:rPr>
          <w:rStyle w:val="Siln"/>
          <w:color w:val="4F4F4F"/>
          <w:sz w:val="28"/>
          <w:szCs w:val="28"/>
        </w:rPr>
        <w:t xml:space="preserve">. </w:t>
      </w:r>
      <w:r w:rsidR="00451C20">
        <w:rPr>
          <w:rStyle w:val="Siln"/>
          <w:color w:val="4F4F4F"/>
          <w:sz w:val="28"/>
          <w:szCs w:val="28"/>
        </w:rPr>
        <w:t>p</w:t>
      </w:r>
      <w:r w:rsidRPr="00573360">
        <w:rPr>
          <w:rStyle w:val="Siln"/>
          <w:color w:val="4F4F4F"/>
          <w:sz w:val="28"/>
          <w:szCs w:val="28"/>
        </w:rPr>
        <w:t>orady národní sítě IMPEL</w:t>
      </w:r>
    </w:p>
    <w:p w:rsidR="00BF4287" w:rsidRPr="00573360" w:rsidRDefault="00BF4287" w:rsidP="00BF4287">
      <w:pPr>
        <w:pStyle w:val="Normlnweb"/>
        <w:jc w:val="center"/>
        <w:rPr>
          <w:rStyle w:val="Siln"/>
          <w:color w:val="4F4F4F"/>
          <w:sz w:val="28"/>
          <w:szCs w:val="28"/>
        </w:rPr>
      </w:pPr>
      <w:r w:rsidRPr="00573360">
        <w:rPr>
          <w:rStyle w:val="Siln"/>
          <w:color w:val="4F4F4F"/>
          <w:sz w:val="28"/>
          <w:szCs w:val="28"/>
        </w:rPr>
        <w:t xml:space="preserve">konané na ředitelství ČIŽP dne </w:t>
      </w:r>
      <w:r w:rsidR="00427A70">
        <w:rPr>
          <w:rStyle w:val="Siln"/>
          <w:color w:val="4F4F4F"/>
          <w:sz w:val="28"/>
          <w:szCs w:val="28"/>
        </w:rPr>
        <w:t>4</w:t>
      </w:r>
      <w:r w:rsidRPr="00573360">
        <w:rPr>
          <w:rStyle w:val="Siln"/>
          <w:color w:val="4F4F4F"/>
          <w:sz w:val="28"/>
          <w:szCs w:val="28"/>
        </w:rPr>
        <w:t>.</w:t>
      </w:r>
      <w:r w:rsidR="00C51D68">
        <w:rPr>
          <w:rStyle w:val="Siln"/>
          <w:color w:val="4F4F4F"/>
          <w:sz w:val="28"/>
          <w:szCs w:val="28"/>
        </w:rPr>
        <w:t xml:space="preserve"> </w:t>
      </w:r>
      <w:r w:rsidR="00427A70">
        <w:rPr>
          <w:rStyle w:val="Siln"/>
          <w:color w:val="4F4F4F"/>
          <w:sz w:val="28"/>
          <w:szCs w:val="28"/>
        </w:rPr>
        <w:t>6</w:t>
      </w:r>
      <w:r w:rsidRPr="00573360">
        <w:rPr>
          <w:rStyle w:val="Siln"/>
          <w:color w:val="4F4F4F"/>
          <w:sz w:val="28"/>
          <w:szCs w:val="28"/>
        </w:rPr>
        <w:t>.</w:t>
      </w:r>
      <w:r w:rsidR="00C51D68">
        <w:rPr>
          <w:rStyle w:val="Siln"/>
          <w:color w:val="4F4F4F"/>
          <w:sz w:val="28"/>
          <w:szCs w:val="28"/>
        </w:rPr>
        <w:t xml:space="preserve"> </w:t>
      </w:r>
      <w:r w:rsidRPr="00573360">
        <w:rPr>
          <w:rStyle w:val="Siln"/>
          <w:color w:val="4F4F4F"/>
          <w:sz w:val="28"/>
          <w:szCs w:val="28"/>
        </w:rPr>
        <w:t>201</w:t>
      </w:r>
      <w:r w:rsidR="00427A70">
        <w:rPr>
          <w:rStyle w:val="Siln"/>
          <w:color w:val="4F4F4F"/>
          <w:sz w:val="28"/>
          <w:szCs w:val="28"/>
        </w:rPr>
        <w:t>5</w:t>
      </w:r>
    </w:p>
    <w:p w:rsidR="00D205E1" w:rsidRPr="003A2776" w:rsidRDefault="00BF4287" w:rsidP="00C762F6">
      <w:pPr>
        <w:pStyle w:val="Normlnweb"/>
        <w:jc w:val="both"/>
        <w:rPr>
          <w:rStyle w:val="Siln"/>
          <w:b w:val="0"/>
          <w:color w:val="4F4F4F"/>
          <w:sz w:val="22"/>
          <w:szCs w:val="22"/>
        </w:rPr>
      </w:pPr>
      <w:r w:rsidRPr="003A2776">
        <w:rPr>
          <w:rStyle w:val="Siln"/>
          <w:i/>
          <w:color w:val="4F4F4F"/>
          <w:sz w:val="22"/>
          <w:szCs w:val="22"/>
        </w:rPr>
        <w:t>Přítomni</w:t>
      </w:r>
      <w:r w:rsidRPr="003A2776">
        <w:rPr>
          <w:rStyle w:val="Siln"/>
          <w:color w:val="4F4F4F"/>
          <w:sz w:val="22"/>
          <w:szCs w:val="22"/>
        </w:rPr>
        <w:t xml:space="preserve">: </w:t>
      </w:r>
      <w:r w:rsidRPr="003A2776">
        <w:rPr>
          <w:rStyle w:val="Siln"/>
          <w:b w:val="0"/>
          <w:color w:val="4F4F4F"/>
          <w:sz w:val="22"/>
          <w:szCs w:val="22"/>
        </w:rPr>
        <w:t>dle prezenční listiny</w:t>
      </w:r>
    </w:p>
    <w:p w:rsidR="00BF4287" w:rsidRDefault="00BF4287" w:rsidP="00C762F6">
      <w:pPr>
        <w:pStyle w:val="Normlnweb"/>
        <w:jc w:val="both"/>
        <w:rPr>
          <w:rStyle w:val="Siln"/>
          <w:b w:val="0"/>
          <w:color w:val="4F4F4F"/>
          <w:sz w:val="22"/>
          <w:szCs w:val="22"/>
        </w:rPr>
      </w:pPr>
      <w:r w:rsidRPr="003A2776">
        <w:rPr>
          <w:rStyle w:val="Siln"/>
          <w:b w:val="0"/>
          <w:color w:val="4F4F4F"/>
          <w:sz w:val="22"/>
          <w:szCs w:val="22"/>
        </w:rPr>
        <w:t>Lenka Němcová přivítala účastníky porady</w:t>
      </w:r>
      <w:r w:rsidR="00866534">
        <w:rPr>
          <w:rStyle w:val="Siln"/>
          <w:b w:val="0"/>
          <w:color w:val="4F4F4F"/>
          <w:sz w:val="22"/>
          <w:szCs w:val="22"/>
        </w:rPr>
        <w:t>, seznámila je se změnami v programu a dále</w:t>
      </w:r>
      <w:r w:rsidRPr="003A2776">
        <w:rPr>
          <w:rStyle w:val="Siln"/>
          <w:b w:val="0"/>
          <w:color w:val="4F4F4F"/>
          <w:sz w:val="22"/>
          <w:szCs w:val="22"/>
        </w:rPr>
        <w:t xml:space="preserve"> porada</w:t>
      </w:r>
      <w:r w:rsidR="00C610B3">
        <w:rPr>
          <w:rStyle w:val="Siln"/>
          <w:b w:val="0"/>
          <w:color w:val="4F4F4F"/>
          <w:sz w:val="22"/>
          <w:szCs w:val="22"/>
        </w:rPr>
        <w:t xml:space="preserve"> pokračovala podle upraveného</w:t>
      </w:r>
      <w:r w:rsidRPr="003A2776">
        <w:rPr>
          <w:rStyle w:val="Siln"/>
          <w:b w:val="0"/>
          <w:color w:val="4F4F4F"/>
          <w:sz w:val="22"/>
          <w:szCs w:val="22"/>
        </w:rPr>
        <w:t xml:space="preserve"> programu:</w:t>
      </w:r>
    </w:p>
    <w:p w:rsidR="00AE176E" w:rsidRDefault="00AE176E" w:rsidP="00C762F6">
      <w:pPr>
        <w:pStyle w:val="Normlnweb"/>
        <w:jc w:val="both"/>
        <w:rPr>
          <w:rStyle w:val="Siln"/>
          <w:color w:val="4F4F4F"/>
        </w:rPr>
      </w:pPr>
      <w:r w:rsidRPr="003A2776">
        <w:rPr>
          <w:rStyle w:val="Siln"/>
          <w:color w:val="4F4F4F"/>
        </w:rPr>
        <w:t xml:space="preserve">Informace o prioritách </w:t>
      </w:r>
      <w:r w:rsidR="00D861B2">
        <w:rPr>
          <w:rStyle w:val="Siln"/>
          <w:color w:val="4F4F4F"/>
        </w:rPr>
        <w:t xml:space="preserve">CZ PRES V4 a </w:t>
      </w:r>
      <w:r w:rsidR="00EF6210" w:rsidRPr="003A2776">
        <w:rPr>
          <w:rStyle w:val="Siln"/>
          <w:color w:val="4F4F4F"/>
        </w:rPr>
        <w:t>z jednání Rady pro životní prostředí</w:t>
      </w:r>
      <w:r w:rsidRPr="003A2776">
        <w:rPr>
          <w:rStyle w:val="Siln"/>
          <w:color w:val="4F4F4F"/>
        </w:rPr>
        <w:t xml:space="preserve"> – </w:t>
      </w:r>
      <w:r w:rsidR="00D861B2">
        <w:rPr>
          <w:rStyle w:val="Siln"/>
          <w:color w:val="4F4F4F"/>
        </w:rPr>
        <w:t>Michaela</w:t>
      </w:r>
      <w:r w:rsidRPr="003A2776">
        <w:rPr>
          <w:rStyle w:val="Siln"/>
          <w:color w:val="4F4F4F"/>
        </w:rPr>
        <w:t xml:space="preserve"> </w:t>
      </w:r>
      <w:r w:rsidR="00D861B2">
        <w:rPr>
          <w:rStyle w:val="Siln"/>
          <w:color w:val="4F4F4F"/>
        </w:rPr>
        <w:t>Jeřábková</w:t>
      </w:r>
      <w:r w:rsidRPr="003A2776">
        <w:rPr>
          <w:rStyle w:val="Siln"/>
          <w:color w:val="4F4F4F"/>
        </w:rPr>
        <w:t>, MŽP</w:t>
      </w:r>
      <w:r w:rsidR="00D861B2">
        <w:rPr>
          <w:rStyle w:val="Siln"/>
          <w:color w:val="4F4F4F"/>
        </w:rPr>
        <w:t xml:space="preserve"> (v zastoupení Lenka Němcová)</w:t>
      </w:r>
    </w:p>
    <w:p w:rsidR="00D861B2" w:rsidRPr="0041117D" w:rsidRDefault="00D861B2" w:rsidP="00D861B2">
      <w:pPr>
        <w:tabs>
          <w:tab w:val="left" w:pos="-1843"/>
        </w:tabs>
        <w:spacing w:after="120" w:line="240" w:lineRule="auto"/>
        <w:jc w:val="both"/>
        <w:textAlignment w:val="baseline"/>
        <w:rPr>
          <w:rFonts w:ascii="Times New Roman" w:eastAsia="SimSun" w:hAnsi="Times New Roman" w:cs="Times New Roman"/>
          <w:i/>
          <w:sz w:val="16"/>
          <w:szCs w:val="16"/>
          <w:lang w:eastAsia="ar-SA"/>
        </w:rPr>
      </w:pPr>
      <w:r w:rsidRPr="0041117D">
        <w:rPr>
          <w:rFonts w:ascii="Times New Roman" w:eastAsia="Times New Roman" w:hAnsi="Times New Roman" w:cs="Times New Roman"/>
          <w:iCs/>
          <w:sz w:val="16"/>
          <w:szCs w:val="16"/>
          <w:lang w:eastAsia="ar-SA"/>
        </w:rPr>
        <w:t>Visegrádská skupina (V4) oslaví v roce 2016 dvacet pět let od svého založení. Snahou českého předsednictví ve V4 (CZ V4 PRES) je soustředit se na skutečně nosná témata s konkrétním praktickým výsledkem. To se projevuje</w:t>
      </w:r>
      <w:r w:rsidRPr="0041117D">
        <w:rPr>
          <w:rFonts w:ascii="Times New Roman" w:eastAsia="Times New Roman" w:hAnsi="Times New Roman" w:cs="Times New Roman"/>
          <w:bCs/>
          <w:iCs/>
          <w:sz w:val="16"/>
          <w:szCs w:val="16"/>
          <w:lang w:eastAsia="ar-SA"/>
        </w:rPr>
        <w:t xml:space="preserve"> v zužování agendy podle reálných cílů a potřeb</w:t>
      </w:r>
      <w:r w:rsidRPr="0041117D">
        <w:rPr>
          <w:rFonts w:ascii="Times New Roman" w:eastAsia="Times New Roman" w:hAnsi="Times New Roman" w:cs="Times New Roman"/>
          <w:iCs/>
          <w:sz w:val="16"/>
          <w:szCs w:val="16"/>
          <w:lang w:eastAsia="ar-SA"/>
        </w:rPr>
        <w:t xml:space="preserve">.  </w:t>
      </w:r>
    </w:p>
    <w:p w:rsidR="00D861B2" w:rsidRDefault="00D861B2" w:rsidP="00D861B2">
      <w:pPr>
        <w:tabs>
          <w:tab w:val="left" w:pos="-1843"/>
        </w:tabs>
        <w:suppressAutoHyphens/>
        <w:spacing w:after="0" w:line="240" w:lineRule="auto"/>
        <w:jc w:val="both"/>
        <w:rPr>
          <w:rFonts w:ascii="Times New Roman" w:eastAsia="Calibri" w:hAnsi="Times New Roman" w:cs="Times New Roman"/>
          <w:b/>
          <w:sz w:val="20"/>
          <w:szCs w:val="20"/>
          <w:lang w:eastAsia="ar-SA"/>
        </w:rPr>
      </w:pPr>
      <w:r w:rsidRPr="0041117D">
        <w:rPr>
          <w:rFonts w:ascii="Times New Roman" w:eastAsia="Calibri" w:hAnsi="Times New Roman" w:cs="Times New Roman"/>
          <w:b/>
          <w:sz w:val="20"/>
          <w:szCs w:val="20"/>
          <w:lang w:eastAsia="ar-SA"/>
        </w:rPr>
        <w:t>Priority CZ P</w:t>
      </w:r>
      <w:r w:rsidR="007A2589" w:rsidRPr="0041117D">
        <w:rPr>
          <w:rFonts w:ascii="Times New Roman" w:eastAsia="Calibri" w:hAnsi="Times New Roman" w:cs="Times New Roman"/>
          <w:b/>
          <w:sz w:val="20"/>
          <w:szCs w:val="20"/>
          <w:lang w:eastAsia="ar-SA"/>
        </w:rPr>
        <w:t>R</w:t>
      </w:r>
      <w:r w:rsidRPr="0041117D">
        <w:rPr>
          <w:rFonts w:ascii="Times New Roman" w:eastAsia="Calibri" w:hAnsi="Times New Roman" w:cs="Times New Roman"/>
          <w:b/>
          <w:sz w:val="20"/>
          <w:szCs w:val="20"/>
          <w:lang w:eastAsia="ar-SA"/>
        </w:rPr>
        <w:t>ES V4 v oblasti ŽP</w:t>
      </w:r>
      <w:r w:rsidR="0041117D">
        <w:rPr>
          <w:rFonts w:ascii="Times New Roman" w:eastAsia="Calibri" w:hAnsi="Times New Roman" w:cs="Times New Roman"/>
          <w:b/>
          <w:sz w:val="20"/>
          <w:szCs w:val="20"/>
          <w:lang w:eastAsia="ar-SA"/>
        </w:rPr>
        <w:t>:</w:t>
      </w:r>
    </w:p>
    <w:p w:rsidR="005F0710" w:rsidRPr="0041117D" w:rsidRDefault="005F0710" w:rsidP="00D861B2">
      <w:pPr>
        <w:tabs>
          <w:tab w:val="left" w:pos="-1843"/>
        </w:tabs>
        <w:suppressAutoHyphens/>
        <w:spacing w:after="0" w:line="240" w:lineRule="auto"/>
        <w:jc w:val="both"/>
        <w:rPr>
          <w:rFonts w:ascii="Times New Roman" w:eastAsia="Calibri" w:hAnsi="Times New Roman" w:cs="Times New Roman"/>
          <w:b/>
          <w:sz w:val="20"/>
          <w:szCs w:val="20"/>
          <w:lang w:eastAsia="ar-SA"/>
        </w:rPr>
      </w:pPr>
    </w:p>
    <w:p w:rsidR="00D861B2" w:rsidRPr="0041117D" w:rsidRDefault="00D861B2" w:rsidP="00D861B2">
      <w:p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Hlavní témata pro jednání s visegrádskými partnery:</w:t>
      </w:r>
    </w:p>
    <w:p w:rsidR="00D861B2" w:rsidRPr="0041117D" w:rsidRDefault="00D861B2" w:rsidP="00D861B2">
      <w:pPr>
        <w:numPr>
          <w:ilvl w:val="0"/>
          <w:numId w:val="8"/>
        </w:num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problematika oběhového hospodářství a změny evropské legislativy v oblasti odpadů;</w:t>
      </w:r>
    </w:p>
    <w:p w:rsidR="00D861B2" w:rsidRPr="0041117D" w:rsidRDefault="00D861B2" w:rsidP="00D861B2">
      <w:pPr>
        <w:numPr>
          <w:ilvl w:val="0"/>
          <w:numId w:val="9"/>
        </w:numPr>
        <w:tabs>
          <w:tab w:val="left" w:pos="-1843"/>
          <w:tab w:val="left" w:pos="360"/>
        </w:tabs>
        <w:suppressAutoHyphens/>
        <w:spacing w:after="0" w:line="240" w:lineRule="auto"/>
        <w:ind w:left="360"/>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rámec EU v oblasti klimatické a energetické politiky do roku 2030 – legislativní návrhy navazující na závěry Evropské rady z 24. října 2014;</w:t>
      </w:r>
    </w:p>
    <w:p w:rsidR="00D861B2" w:rsidRPr="0041117D" w:rsidRDefault="00D861B2" w:rsidP="00D861B2">
      <w:pPr>
        <w:numPr>
          <w:ilvl w:val="0"/>
          <w:numId w:val="9"/>
        </w:numPr>
        <w:tabs>
          <w:tab w:val="left" w:pos="-1843"/>
          <w:tab w:val="left" w:pos="360"/>
        </w:tabs>
        <w:suppressAutoHyphens/>
        <w:spacing w:after="0" w:line="240" w:lineRule="auto"/>
        <w:ind w:left="360"/>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mezinárodní vyjednávání o ochraně klimatu – příprava na COP 21 v Paříži 2015;</w:t>
      </w:r>
    </w:p>
    <w:p w:rsidR="00D861B2" w:rsidRPr="0041117D" w:rsidRDefault="00D861B2" w:rsidP="00D861B2">
      <w:pPr>
        <w:numPr>
          <w:ilvl w:val="0"/>
          <w:numId w:val="9"/>
        </w:numPr>
        <w:tabs>
          <w:tab w:val="left" w:pos="-1843"/>
          <w:tab w:val="left" w:pos="360"/>
        </w:tabs>
        <w:suppressAutoHyphens/>
        <w:spacing w:after="0" w:line="240" w:lineRule="auto"/>
        <w:ind w:left="360"/>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legislativní balíček k ovzduší;</w:t>
      </w:r>
    </w:p>
    <w:p w:rsidR="00D861B2" w:rsidRPr="0041117D" w:rsidRDefault="00D861B2" w:rsidP="00D861B2">
      <w:pPr>
        <w:numPr>
          <w:ilvl w:val="0"/>
          <w:numId w:val="9"/>
        </w:numPr>
        <w:tabs>
          <w:tab w:val="left" w:pos="-1843"/>
          <w:tab w:val="left" w:pos="360"/>
        </w:tabs>
        <w:suppressAutoHyphens/>
        <w:spacing w:after="0" w:line="240" w:lineRule="auto"/>
        <w:ind w:left="360"/>
        <w:jc w:val="both"/>
        <w:rPr>
          <w:rFonts w:ascii="Times New Roman" w:eastAsia="Calibri" w:hAnsi="Times New Roman" w:cs="Times New Roman"/>
          <w:sz w:val="16"/>
          <w:szCs w:val="16"/>
          <w:lang w:eastAsia="ar-SA"/>
        </w:rPr>
      </w:pPr>
      <w:r w:rsidRPr="0041117D">
        <w:rPr>
          <w:rFonts w:ascii="Times New Roman" w:eastAsia="Times New Roman" w:hAnsi="Times New Roman" w:cs="Times New Roman"/>
          <w:color w:val="000000"/>
          <w:sz w:val="16"/>
          <w:szCs w:val="16"/>
          <w:lang w:eastAsia="cs-CZ"/>
        </w:rPr>
        <w:t>pokračování semináře k aktuálním otázkám ochrany přírody, včetně hospodaření v oblastech Natura 2000 a na prioritních typech stanovišť a druhů, jak bylo určeno na biogeografických seminářích Natura 2000, které organizovala Evropská komise;</w:t>
      </w:r>
    </w:p>
    <w:p w:rsidR="00D861B2" w:rsidRPr="0041117D" w:rsidRDefault="00D861B2" w:rsidP="00D861B2">
      <w:pPr>
        <w:numPr>
          <w:ilvl w:val="0"/>
          <w:numId w:val="9"/>
        </w:numPr>
        <w:tabs>
          <w:tab w:val="left" w:pos="-1843"/>
          <w:tab w:val="left" w:pos="360"/>
        </w:tabs>
        <w:suppressAutoHyphens/>
        <w:spacing w:after="0" w:line="240" w:lineRule="auto"/>
        <w:ind w:left="360"/>
        <w:jc w:val="both"/>
        <w:rPr>
          <w:rFonts w:ascii="Times New Roman" w:eastAsia="Calibri" w:hAnsi="Times New Roman" w:cs="Times New Roman"/>
          <w:sz w:val="16"/>
          <w:szCs w:val="16"/>
          <w:lang w:eastAsia="ar-SA"/>
        </w:rPr>
      </w:pPr>
      <w:r w:rsidRPr="0041117D">
        <w:rPr>
          <w:rFonts w:ascii="Times New Roman" w:eastAsia="Times New Roman" w:hAnsi="Times New Roman" w:cs="Times New Roman"/>
          <w:color w:val="000000"/>
          <w:sz w:val="16"/>
          <w:szCs w:val="16"/>
          <w:lang w:eastAsia="cs-CZ"/>
        </w:rPr>
        <w:t xml:space="preserve">příp. spolupráce při implementaci směrnice (EU) 2015/412 , kterou se mění směrnice 2001/18/ES, pokud jde o možnost členských států omezit či zakázat pěstování geneticky modifikovaných organismů (GMO) na svém území.  </w:t>
      </w:r>
    </w:p>
    <w:p w:rsidR="00D861B2" w:rsidRPr="0041117D" w:rsidRDefault="00D861B2" w:rsidP="00D861B2">
      <w:pPr>
        <w:tabs>
          <w:tab w:val="left" w:pos="-1843"/>
        </w:tabs>
        <w:suppressAutoHyphens/>
        <w:spacing w:after="0" w:line="240" w:lineRule="auto"/>
        <w:jc w:val="both"/>
        <w:rPr>
          <w:rFonts w:ascii="Times New Roman" w:eastAsia="Calibri" w:hAnsi="Times New Roman" w:cs="Times New Roman"/>
          <w:sz w:val="16"/>
          <w:szCs w:val="16"/>
          <w:lang w:eastAsia="ar-SA"/>
        </w:rPr>
      </w:pPr>
    </w:p>
    <w:p w:rsidR="00D861B2" w:rsidRPr="0041117D" w:rsidRDefault="00D861B2" w:rsidP="00D861B2">
      <w:pPr>
        <w:tabs>
          <w:tab w:val="left" w:pos="-1843"/>
        </w:tabs>
        <w:suppressAutoHyphens/>
        <w:spacing w:after="0" w:line="240" w:lineRule="auto"/>
        <w:jc w:val="both"/>
        <w:rPr>
          <w:rFonts w:ascii="Times New Roman" w:eastAsia="Calibri" w:hAnsi="Times New Roman" w:cs="Times New Roman"/>
          <w:i/>
          <w:sz w:val="16"/>
          <w:szCs w:val="16"/>
          <w:lang w:eastAsia="ar-SA"/>
        </w:rPr>
      </w:pPr>
      <w:r w:rsidRPr="0041117D">
        <w:rPr>
          <w:rFonts w:ascii="Times New Roman" w:eastAsia="Calibri" w:hAnsi="Times New Roman" w:cs="Times New Roman"/>
          <w:sz w:val="16"/>
          <w:szCs w:val="16"/>
          <w:lang w:eastAsia="ar-SA"/>
        </w:rPr>
        <w:t>Za tímto Ministerstvo životního prostředí uskuteční:</w:t>
      </w:r>
    </w:p>
    <w:p w:rsidR="00D861B2" w:rsidRPr="0041117D" w:rsidRDefault="00D861B2" w:rsidP="00D861B2">
      <w:pPr>
        <w:numPr>
          <w:ilvl w:val="0"/>
          <w:numId w:val="10"/>
        </w:numPr>
        <w:tabs>
          <w:tab w:val="left" w:pos="-1843"/>
        </w:tabs>
        <w:suppressAutoHyphens/>
        <w:spacing w:after="0" w:line="240" w:lineRule="auto"/>
        <w:jc w:val="both"/>
        <w:rPr>
          <w:rFonts w:ascii="Times New Roman" w:eastAsia="Calibri" w:hAnsi="Times New Roman" w:cs="Times New Roman"/>
          <w:i/>
          <w:sz w:val="16"/>
          <w:szCs w:val="16"/>
          <w:lang w:eastAsia="ar-SA"/>
        </w:rPr>
      </w:pPr>
      <w:r w:rsidRPr="0041117D">
        <w:rPr>
          <w:rFonts w:ascii="Times New Roman" w:eastAsia="Calibri" w:hAnsi="Times New Roman" w:cs="Times New Roman"/>
          <w:i/>
          <w:sz w:val="16"/>
          <w:szCs w:val="16"/>
          <w:lang w:eastAsia="ar-SA"/>
        </w:rPr>
        <w:t>zasedání ministrů životního prostředí zemí V4+ (duben 2016);</w:t>
      </w:r>
    </w:p>
    <w:p w:rsidR="00D861B2" w:rsidRPr="0041117D" w:rsidRDefault="00D861B2" w:rsidP="00D861B2">
      <w:pPr>
        <w:numPr>
          <w:ilvl w:val="0"/>
          <w:numId w:val="10"/>
        </w:num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i/>
          <w:sz w:val="16"/>
          <w:szCs w:val="16"/>
          <w:lang w:eastAsia="ar-SA"/>
        </w:rPr>
        <w:t>koordinační schůzky zemí V4+ před zasedáními Rady EU pro ŽP.</w:t>
      </w:r>
    </w:p>
    <w:p w:rsidR="00D861B2" w:rsidRPr="0041117D" w:rsidRDefault="00D861B2" w:rsidP="00D861B2">
      <w:pPr>
        <w:tabs>
          <w:tab w:val="left" w:pos="-1843"/>
        </w:tabs>
        <w:suppressAutoHyphens/>
        <w:spacing w:after="0" w:line="240" w:lineRule="auto"/>
        <w:jc w:val="both"/>
        <w:rPr>
          <w:rFonts w:ascii="Times New Roman" w:eastAsia="Calibri" w:hAnsi="Times New Roman" w:cs="Times New Roman"/>
          <w:sz w:val="16"/>
          <w:szCs w:val="16"/>
          <w:lang w:eastAsia="ar-SA"/>
        </w:rPr>
      </w:pPr>
    </w:p>
    <w:p w:rsidR="00D861B2" w:rsidRPr="0041117D" w:rsidRDefault="00D861B2" w:rsidP="00D861B2">
      <w:pPr>
        <w:tabs>
          <w:tab w:val="left" w:pos="-1843"/>
        </w:tabs>
        <w:suppressAutoHyphens/>
        <w:spacing w:after="0" w:line="240" w:lineRule="auto"/>
        <w:jc w:val="both"/>
        <w:rPr>
          <w:rFonts w:ascii="Times New Roman" w:eastAsia="Calibri" w:hAnsi="Times New Roman" w:cs="Times New Roman"/>
          <w:i/>
          <w:sz w:val="16"/>
          <w:szCs w:val="16"/>
          <w:lang w:eastAsia="ar-SA"/>
        </w:rPr>
      </w:pPr>
      <w:r w:rsidRPr="0041117D">
        <w:rPr>
          <w:rFonts w:ascii="Times New Roman" w:eastAsia="Calibri" w:hAnsi="Times New Roman" w:cs="Times New Roman"/>
          <w:sz w:val="16"/>
          <w:szCs w:val="16"/>
          <w:lang w:eastAsia="ar-SA"/>
        </w:rPr>
        <w:t xml:space="preserve">Dále se uskuteční </w:t>
      </w:r>
      <w:r w:rsidRPr="0041117D">
        <w:rPr>
          <w:rFonts w:ascii="Times New Roman" w:eastAsia="Calibri" w:hAnsi="Times New Roman" w:cs="Times New Roman"/>
          <w:i/>
          <w:sz w:val="16"/>
          <w:szCs w:val="16"/>
          <w:lang w:eastAsia="ar-SA"/>
        </w:rPr>
        <w:t>expertní jednání</w:t>
      </w:r>
      <w:r w:rsidRPr="0041117D">
        <w:rPr>
          <w:rFonts w:ascii="Times New Roman" w:eastAsia="Calibri" w:hAnsi="Times New Roman" w:cs="Times New Roman"/>
          <w:sz w:val="16"/>
          <w:szCs w:val="16"/>
          <w:lang w:eastAsia="ar-SA"/>
        </w:rPr>
        <w:t xml:space="preserve"> k tématům:</w:t>
      </w:r>
    </w:p>
    <w:p w:rsidR="00D861B2" w:rsidRPr="0041117D" w:rsidRDefault="00D861B2" w:rsidP="00D861B2">
      <w:pPr>
        <w:numPr>
          <w:ilvl w:val="0"/>
          <w:numId w:val="11"/>
        </w:num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naplňování cílů Strategie EU pro biologickou rozmanitost (1. čtvrtletí 2016);</w:t>
      </w:r>
    </w:p>
    <w:p w:rsidR="00D861B2" w:rsidRPr="0041117D" w:rsidRDefault="00D861B2" w:rsidP="00D861B2">
      <w:pPr>
        <w:numPr>
          <w:ilvl w:val="0"/>
          <w:numId w:val="11"/>
        </w:num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legislativního balíčku k ovzduší (2. pol. 2015);</w:t>
      </w:r>
    </w:p>
    <w:p w:rsidR="00D861B2" w:rsidRPr="0041117D" w:rsidRDefault="00D861B2" w:rsidP="00D861B2">
      <w:pPr>
        <w:numPr>
          <w:ilvl w:val="0"/>
          <w:numId w:val="11"/>
        </w:num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podpora spolupráce v implementaci Úmluvy o mezinárodním obchodu s ohroženými druhy živočichů a rostlin (CITES), se zaměřením na potlačení nelegálního obchodu s těmito exempláři ve středoevropském regionu (2-3denní workshop, 1. pol. 2016);</w:t>
      </w:r>
    </w:p>
    <w:p w:rsidR="00D861B2" w:rsidRPr="0041117D" w:rsidRDefault="00D861B2" w:rsidP="00D861B2">
      <w:pPr>
        <w:numPr>
          <w:ilvl w:val="0"/>
          <w:numId w:val="11"/>
        </w:num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 xml:space="preserve">naplňování iniciativy Evropské komise Smart </w:t>
      </w:r>
      <w:proofErr w:type="spellStart"/>
      <w:r w:rsidRPr="0041117D">
        <w:rPr>
          <w:rFonts w:ascii="Times New Roman" w:eastAsia="Calibri" w:hAnsi="Times New Roman" w:cs="Times New Roman"/>
          <w:sz w:val="16"/>
          <w:szCs w:val="16"/>
          <w:lang w:eastAsia="ar-SA"/>
        </w:rPr>
        <w:t>Cities</w:t>
      </w:r>
      <w:proofErr w:type="spellEnd"/>
      <w:r w:rsidRPr="0041117D">
        <w:rPr>
          <w:rFonts w:ascii="Times New Roman" w:eastAsia="Calibri" w:hAnsi="Times New Roman" w:cs="Times New Roman"/>
          <w:sz w:val="16"/>
          <w:szCs w:val="16"/>
          <w:lang w:eastAsia="ar-SA"/>
        </w:rPr>
        <w:t xml:space="preserve"> and </w:t>
      </w:r>
      <w:proofErr w:type="spellStart"/>
      <w:r w:rsidRPr="0041117D">
        <w:rPr>
          <w:rFonts w:ascii="Times New Roman" w:eastAsia="Calibri" w:hAnsi="Times New Roman" w:cs="Times New Roman"/>
          <w:sz w:val="16"/>
          <w:szCs w:val="16"/>
          <w:lang w:eastAsia="ar-SA"/>
        </w:rPr>
        <w:t>Communities</w:t>
      </w:r>
      <w:proofErr w:type="spellEnd"/>
      <w:r w:rsidRPr="0041117D">
        <w:rPr>
          <w:rFonts w:ascii="Times New Roman" w:eastAsia="Calibri" w:hAnsi="Times New Roman" w:cs="Times New Roman"/>
          <w:sz w:val="16"/>
          <w:szCs w:val="16"/>
          <w:lang w:eastAsia="ar-SA"/>
        </w:rPr>
        <w:t xml:space="preserve"> (ve spolupráci s MMR):</w:t>
      </w:r>
    </w:p>
    <w:p w:rsidR="00D861B2" w:rsidRPr="0041117D" w:rsidRDefault="00D861B2" w:rsidP="00D861B2">
      <w:pPr>
        <w:numPr>
          <w:ilvl w:val="1"/>
          <w:numId w:val="11"/>
        </w:numPr>
        <w:tabs>
          <w:tab w:val="left" w:pos="-1843"/>
        </w:tabs>
        <w:suppressAutoHyphens/>
        <w:spacing w:after="0" w:line="240" w:lineRule="auto"/>
        <w:jc w:val="both"/>
        <w:rPr>
          <w:rFonts w:ascii="Times New Roman" w:eastAsia="Calibri" w:hAnsi="Times New Roman" w:cs="Times New Roman"/>
          <w:sz w:val="16"/>
          <w:szCs w:val="16"/>
          <w:lang w:eastAsia="ar-SA"/>
        </w:rPr>
      </w:pPr>
      <w:r w:rsidRPr="0041117D">
        <w:rPr>
          <w:rFonts w:ascii="Times New Roman" w:eastAsia="Calibri" w:hAnsi="Times New Roman" w:cs="Times New Roman"/>
          <w:sz w:val="16"/>
          <w:szCs w:val="16"/>
          <w:lang w:eastAsia="ar-SA"/>
        </w:rPr>
        <w:t>seminář na pracovní úrovni pro nové členské země EU, 4. čtvrtletí 2015;</w:t>
      </w:r>
    </w:p>
    <w:p w:rsidR="00D861B2" w:rsidRPr="0041117D" w:rsidRDefault="00D861B2" w:rsidP="00D861B2">
      <w:pPr>
        <w:pStyle w:val="Bezmezer"/>
        <w:numPr>
          <w:ilvl w:val="0"/>
          <w:numId w:val="11"/>
        </w:numP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podpora implementace Rámcové úmluvy o ochraně a udržitelném rozvoji Karpat (při příležitosti předsednictví ČR Karpatské úmluvě v 2014–2017):</w:t>
      </w:r>
    </w:p>
    <w:p w:rsidR="00D861B2" w:rsidRPr="0041117D" w:rsidRDefault="00D861B2" w:rsidP="00D861B2">
      <w:pPr>
        <w:pStyle w:val="Bezmezer"/>
        <w:numPr>
          <w:ilvl w:val="1"/>
          <w:numId w:val="11"/>
        </w:numP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expertní jednání V4+3 (Srbsko, Rumunsko, Ukrajina) a pracovních skupin v rámci Karpatské úmluvy k ochraně a péči o krajinu, se zaměřením na ekologickou konektivitu a zelenou infrastrukturu horských oblastí (4. čtvrtletí 2015);</w:t>
      </w:r>
    </w:p>
    <w:p w:rsidR="00D861B2" w:rsidRPr="0041117D" w:rsidRDefault="00D861B2" w:rsidP="00D861B2">
      <w:pPr>
        <w:pStyle w:val="Bezmezer"/>
        <w:numPr>
          <w:ilvl w:val="1"/>
          <w:numId w:val="11"/>
        </w:numP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expertní jednání V4+3 (Srbsko, Rumunsko, Ukrajina) a Sítě chráněných území v Karpatech (CNPA) se zaměřením na udržitelný cestovní ruch v horských oblastech (1. čtvrtletí 2016);</w:t>
      </w:r>
    </w:p>
    <w:p w:rsidR="00D861B2" w:rsidRPr="0041117D" w:rsidRDefault="00D861B2" w:rsidP="00D861B2">
      <w:pPr>
        <w:pStyle w:val="Bezmezer"/>
        <w:numPr>
          <w:ilvl w:val="0"/>
          <w:numId w:val="11"/>
        </w:numPr>
        <w:tabs>
          <w:tab w:val="left" w:pos="-1843"/>
        </w:tabs>
        <w:jc w:val="both"/>
        <w:rPr>
          <w:rFonts w:ascii="Times New Roman" w:hAnsi="Times New Roman" w:cs="Times New Roman"/>
          <w:sz w:val="16"/>
          <w:szCs w:val="16"/>
          <w:u w:val="single"/>
        </w:rPr>
      </w:pPr>
      <w:r w:rsidRPr="0041117D">
        <w:rPr>
          <w:rFonts w:ascii="Times New Roman" w:hAnsi="Times New Roman" w:cs="Times New Roman"/>
          <w:sz w:val="16"/>
          <w:szCs w:val="16"/>
        </w:rPr>
        <w:t>prozkoumání možnosti spolupráce mezi visegrádskými zeměmi v rámci EUROPARC CEE (jednání ve formátu V4 či V4 + během valného Shromáždění EUROPARC CEE, 1. čtvrtletí 2016).</w:t>
      </w:r>
    </w:p>
    <w:p w:rsidR="0041117D" w:rsidRDefault="0041117D" w:rsidP="0041117D">
      <w:pPr>
        <w:pStyle w:val="Bezmezer"/>
        <w:tabs>
          <w:tab w:val="left" w:pos="-1843"/>
        </w:tabs>
        <w:jc w:val="both"/>
        <w:rPr>
          <w:rFonts w:ascii="Times New Roman" w:hAnsi="Times New Roman" w:cs="Times New Roman"/>
          <w:sz w:val="16"/>
          <w:szCs w:val="16"/>
        </w:rPr>
      </w:pPr>
    </w:p>
    <w:p w:rsidR="0041117D" w:rsidRDefault="0041117D" w:rsidP="0041117D">
      <w:pPr>
        <w:pStyle w:val="Bezmezer"/>
        <w:tabs>
          <w:tab w:val="left" w:pos="-1843"/>
        </w:tabs>
        <w:jc w:val="both"/>
        <w:rPr>
          <w:rFonts w:ascii="Times New Roman" w:hAnsi="Times New Roman" w:cs="Times New Roman"/>
          <w:b/>
          <w:sz w:val="20"/>
          <w:szCs w:val="20"/>
        </w:rPr>
      </w:pPr>
      <w:r w:rsidRPr="0041117D">
        <w:rPr>
          <w:rFonts w:ascii="Times New Roman" w:hAnsi="Times New Roman" w:cs="Times New Roman"/>
          <w:b/>
          <w:sz w:val="20"/>
          <w:szCs w:val="20"/>
        </w:rPr>
        <w:t xml:space="preserve">Program Rady EU pro ŽP, která se bude konat dne 15. </w:t>
      </w:r>
      <w:r>
        <w:rPr>
          <w:rFonts w:ascii="Times New Roman" w:hAnsi="Times New Roman" w:cs="Times New Roman"/>
          <w:b/>
          <w:sz w:val="20"/>
          <w:szCs w:val="20"/>
        </w:rPr>
        <w:t>č</w:t>
      </w:r>
      <w:r w:rsidRPr="0041117D">
        <w:rPr>
          <w:rFonts w:ascii="Times New Roman" w:hAnsi="Times New Roman" w:cs="Times New Roman"/>
          <w:b/>
          <w:sz w:val="20"/>
          <w:szCs w:val="20"/>
        </w:rPr>
        <w:t>ervna 2015</w:t>
      </w:r>
    </w:p>
    <w:p w:rsidR="005F0710" w:rsidRDefault="005F0710" w:rsidP="0041117D">
      <w:pPr>
        <w:pStyle w:val="Bezmezer"/>
        <w:tabs>
          <w:tab w:val="left" w:pos="-1843"/>
        </w:tabs>
        <w:jc w:val="both"/>
        <w:rPr>
          <w:rFonts w:ascii="Times New Roman" w:hAnsi="Times New Roman" w:cs="Times New Roman"/>
          <w:b/>
          <w:sz w:val="20"/>
          <w:szCs w:val="20"/>
        </w:rPr>
      </w:pPr>
    </w:p>
    <w:p w:rsidR="0041117D" w:rsidRPr="0041117D" w:rsidRDefault="0041117D" w:rsidP="0041117D">
      <w:pPr>
        <w:pStyle w:val="Bezmezer"/>
        <w:tabs>
          <w:tab w:val="left" w:pos="-1843"/>
        </w:tabs>
        <w:jc w:val="both"/>
        <w:rPr>
          <w:rFonts w:ascii="Times New Roman" w:hAnsi="Times New Roman" w:cs="Times New Roman"/>
          <w:b/>
          <w:sz w:val="16"/>
          <w:szCs w:val="16"/>
        </w:rPr>
      </w:pPr>
      <w:r w:rsidRPr="0041117D">
        <w:rPr>
          <w:rFonts w:ascii="Times New Roman" w:hAnsi="Times New Roman" w:cs="Times New Roman"/>
          <w:b/>
          <w:bCs/>
          <w:sz w:val="16"/>
          <w:szCs w:val="16"/>
          <w:u w:val="single"/>
        </w:rPr>
        <w:t>Projednávání legislativních aktů</w:t>
      </w:r>
    </w:p>
    <w:p w:rsidR="00A567AF" w:rsidRPr="0041117D" w:rsidRDefault="0041117D" w:rsidP="0041117D">
      <w:pPr>
        <w:pStyle w:val="Bezmezer"/>
        <w:numPr>
          <w:ilvl w:val="0"/>
          <w:numId w:val="12"/>
        </w:numP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 xml:space="preserve">Návrh směrnice Evropského parlamentu a Rady o snížení národních emisí některých látek znečišťujících ovzduší a o změně směrnice 2003/35/ES </w:t>
      </w:r>
      <w:r w:rsidRPr="0041117D">
        <w:rPr>
          <w:rFonts w:ascii="Times New Roman" w:hAnsi="Times New Roman" w:cs="Times New Roman"/>
          <w:bCs/>
          <w:sz w:val="16"/>
          <w:szCs w:val="16"/>
        </w:rPr>
        <w:t>(první čtení)</w:t>
      </w:r>
    </w:p>
    <w:p w:rsidR="0041117D" w:rsidRPr="0041117D" w:rsidRDefault="0041117D" w:rsidP="0041117D">
      <w:pPr>
        <w:pStyle w:val="Bezmezer"/>
        <w:tabs>
          <w:tab w:val="left" w:pos="-1843"/>
        </w:tabs>
        <w:jc w:val="both"/>
        <w:rPr>
          <w:rFonts w:ascii="Times New Roman" w:hAnsi="Times New Roman" w:cs="Times New Roman"/>
          <w:b/>
          <w:sz w:val="16"/>
          <w:szCs w:val="16"/>
        </w:rPr>
      </w:pPr>
      <w:r w:rsidRPr="0041117D">
        <w:rPr>
          <w:rFonts w:ascii="Times New Roman" w:hAnsi="Times New Roman" w:cs="Times New Roman"/>
          <w:b/>
          <w:bCs/>
          <w:sz w:val="16"/>
          <w:szCs w:val="16"/>
          <w:u w:val="single"/>
        </w:rPr>
        <w:t>Nelegislativní činnosti</w:t>
      </w:r>
      <w:r w:rsidRPr="0041117D">
        <w:rPr>
          <w:rFonts w:ascii="Times New Roman" w:hAnsi="Times New Roman" w:cs="Times New Roman"/>
          <w:b/>
          <w:sz w:val="16"/>
          <w:szCs w:val="16"/>
        </w:rPr>
        <w:t> </w:t>
      </w:r>
    </w:p>
    <w:p w:rsidR="00A567AF" w:rsidRPr="0041117D" w:rsidRDefault="0041117D" w:rsidP="0041117D">
      <w:pPr>
        <w:pStyle w:val="Bezmezer"/>
        <w:numPr>
          <w:ilvl w:val="0"/>
          <w:numId w:val="13"/>
        </w:numP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Příprava na konferenci smluvních stran UNFCCC v Paříži (Paříž, 30. listopadu až 11. prosince 2015)</w:t>
      </w:r>
    </w:p>
    <w:p w:rsidR="0041117D" w:rsidRPr="0041117D" w:rsidRDefault="0041117D" w:rsidP="0041117D">
      <w:pPr>
        <w:pStyle w:val="Bezmeze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ab/>
        <w:t>a)</w:t>
      </w:r>
      <w:r>
        <w:rPr>
          <w:rFonts w:ascii="Times New Roman" w:hAnsi="Times New Roman" w:cs="Times New Roman"/>
          <w:sz w:val="16"/>
          <w:szCs w:val="16"/>
        </w:rPr>
        <w:t xml:space="preserve"> </w:t>
      </w:r>
      <w:r w:rsidRPr="0041117D">
        <w:rPr>
          <w:rFonts w:ascii="Times New Roman" w:hAnsi="Times New Roman" w:cs="Times New Roman"/>
          <w:sz w:val="16"/>
          <w:szCs w:val="16"/>
        </w:rPr>
        <w:t>Sdělení Komise: Pařížský protokol – plán boje proti celosvětové změně klimatu po roce 2020</w:t>
      </w:r>
    </w:p>
    <w:p w:rsidR="0041117D" w:rsidRPr="0041117D" w:rsidRDefault="0041117D" w:rsidP="0041117D">
      <w:pPr>
        <w:pStyle w:val="Bezmeze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ab/>
        <w:t>b)</w:t>
      </w:r>
      <w:r>
        <w:rPr>
          <w:rFonts w:ascii="Times New Roman" w:hAnsi="Times New Roman" w:cs="Times New Roman"/>
          <w:sz w:val="16"/>
          <w:szCs w:val="16"/>
        </w:rPr>
        <w:t xml:space="preserve"> </w:t>
      </w:r>
      <w:r w:rsidRPr="0041117D">
        <w:rPr>
          <w:rFonts w:ascii="Times New Roman" w:hAnsi="Times New Roman" w:cs="Times New Roman"/>
          <w:sz w:val="16"/>
          <w:szCs w:val="16"/>
        </w:rPr>
        <w:t>Aktuální stav jednání v rámci UNFCCC</w:t>
      </w:r>
    </w:p>
    <w:p w:rsidR="0041117D" w:rsidRDefault="0041117D" w:rsidP="0041117D">
      <w:pPr>
        <w:pStyle w:val="Bezmeze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ab/>
        <w:t>- výměna názorů</w:t>
      </w:r>
    </w:p>
    <w:p w:rsidR="0041117D" w:rsidRPr="0041117D" w:rsidRDefault="0041117D" w:rsidP="0041117D">
      <w:pPr>
        <w:pStyle w:val="Bezmezer"/>
        <w:tabs>
          <w:tab w:val="left" w:pos="-1843"/>
        </w:tabs>
        <w:jc w:val="both"/>
        <w:rPr>
          <w:rFonts w:ascii="Times New Roman" w:hAnsi="Times New Roman" w:cs="Times New Roman"/>
          <w:sz w:val="16"/>
          <w:szCs w:val="16"/>
        </w:rPr>
      </w:pPr>
      <w:r w:rsidRPr="0041117D">
        <w:rPr>
          <w:rFonts w:ascii="Times New Roman" w:hAnsi="Times New Roman" w:cs="Times New Roman"/>
          <w:b/>
          <w:bCs/>
          <w:sz w:val="16"/>
          <w:szCs w:val="16"/>
          <w:u w:val="single"/>
        </w:rPr>
        <w:t>Jiné záležitosti</w:t>
      </w:r>
    </w:p>
    <w:p w:rsidR="00A567AF" w:rsidRPr="0041117D" w:rsidRDefault="0041117D" w:rsidP="0041117D">
      <w:pPr>
        <w:pStyle w:val="Bezmezer"/>
        <w:numPr>
          <w:ilvl w:val="0"/>
          <w:numId w:val="14"/>
        </w:numPr>
        <w:tabs>
          <w:tab w:val="left" w:pos="-1843"/>
        </w:tabs>
        <w:jc w:val="both"/>
        <w:rPr>
          <w:rFonts w:ascii="Times New Roman" w:hAnsi="Times New Roman" w:cs="Times New Roman"/>
          <w:sz w:val="16"/>
          <w:szCs w:val="16"/>
        </w:rPr>
      </w:pPr>
      <w:r w:rsidRPr="0041117D">
        <w:rPr>
          <w:rFonts w:ascii="Times New Roman" w:hAnsi="Times New Roman" w:cs="Times New Roman"/>
          <w:sz w:val="16"/>
          <w:szCs w:val="16"/>
        </w:rPr>
        <w:t>Návrh rozhodnutí Evropského parlamentu a Rady o vytvoření a uplatňování rezervy tržní stability pro systém EU pro obchodování s emisemi skleníkových plynů a o změně směrnice 2003/87/ES</w:t>
      </w:r>
    </w:p>
    <w:p w:rsidR="0041117D" w:rsidRDefault="0041117D" w:rsidP="0041117D">
      <w:pPr>
        <w:pStyle w:val="Bezmezer"/>
        <w:tabs>
          <w:tab w:val="left" w:pos="-1843"/>
        </w:tabs>
        <w:jc w:val="both"/>
        <w:rPr>
          <w:rFonts w:ascii="Times New Roman" w:hAnsi="Times New Roman" w:cs="Times New Roman"/>
          <w:sz w:val="16"/>
          <w:szCs w:val="16"/>
        </w:rPr>
      </w:pPr>
    </w:p>
    <w:p w:rsidR="0041117D" w:rsidRPr="0041117D" w:rsidRDefault="0041117D" w:rsidP="0041117D">
      <w:pPr>
        <w:pStyle w:val="Bezmezer"/>
        <w:tabs>
          <w:tab w:val="left" w:pos="-1843"/>
        </w:tabs>
        <w:jc w:val="both"/>
        <w:rPr>
          <w:rFonts w:ascii="Times New Roman" w:hAnsi="Times New Roman" w:cs="Times New Roman"/>
          <w:sz w:val="16"/>
          <w:szCs w:val="16"/>
        </w:rPr>
      </w:pPr>
    </w:p>
    <w:p w:rsidR="0041117D" w:rsidRDefault="0041117D" w:rsidP="0041117D">
      <w:pPr>
        <w:pStyle w:val="Bezmezer"/>
        <w:tabs>
          <w:tab w:val="left" w:pos="-1843"/>
        </w:tabs>
        <w:jc w:val="both"/>
        <w:rPr>
          <w:rFonts w:ascii="Times New Roman" w:hAnsi="Times New Roman" w:cs="Times New Roman"/>
          <w:b/>
          <w:sz w:val="20"/>
          <w:szCs w:val="20"/>
        </w:rPr>
      </w:pPr>
    </w:p>
    <w:p w:rsidR="0041117D" w:rsidRPr="0041117D" w:rsidRDefault="0041117D" w:rsidP="0041117D">
      <w:pPr>
        <w:pStyle w:val="Bezmezer"/>
        <w:tabs>
          <w:tab w:val="left" w:pos="-1843"/>
        </w:tabs>
        <w:jc w:val="both"/>
        <w:rPr>
          <w:rFonts w:ascii="Times New Roman" w:hAnsi="Times New Roman" w:cs="Times New Roman"/>
          <w:sz w:val="16"/>
          <w:szCs w:val="16"/>
          <w:u w:val="single"/>
        </w:rPr>
      </w:pPr>
    </w:p>
    <w:p w:rsidR="0041117D" w:rsidRDefault="0041117D" w:rsidP="0041117D">
      <w:pPr>
        <w:pStyle w:val="Bezmezer"/>
        <w:tabs>
          <w:tab w:val="left" w:pos="-1843"/>
        </w:tabs>
        <w:ind w:left="360"/>
        <w:jc w:val="both"/>
        <w:rPr>
          <w:rFonts w:ascii="Times New Roman" w:hAnsi="Times New Roman" w:cs="Times New Roman"/>
          <w:sz w:val="16"/>
          <w:szCs w:val="16"/>
        </w:rPr>
      </w:pPr>
    </w:p>
    <w:p w:rsidR="0041117D" w:rsidRPr="0041117D" w:rsidRDefault="0041117D" w:rsidP="0041117D">
      <w:pPr>
        <w:pStyle w:val="Bezmezer"/>
        <w:tabs>
          <w:tab w:val="left" w:pos="-1843"/>
        </w:tabs>
        <w:ind w:left="360"/>
        <w:jc w:val="both"/>
        <w:rPr>
          <w:rFonts w:ascii="Times New Roman" w:hAnsi="Times New Roman" w:cs="Times New Roman"/>
          <w:sz w:val="16"/>
          <w:szCs w:val="16"/>
          <w:u w:val="single"/>
        </w:rPr>
      </w:pPr>
    </w:p>
    <w:p w:rsidR="003A2776" w:rsidRPr="006478DB" w:rsidRDefault="003A2776" w:rsidP="006478DB">
      <w:pPr>
        <w:pStyle w:val="Normlnweb"/>
        <w:jc w:val="both"/>
        <w:rPr>
          <w:color w:val="4F4F4F"/>
          <w:sz w:val="18"/>
          <w:szCs w:val="18"/>
        </w:rPr>
      </w:pPr>
      <w:r w:rsidRPr="006478DB">
        <w:rPr>
          <w:rStyle w:val="Siln"/>
          <w:bCs w:val="0"/>
          <w:color w:val="4F4F4F"/>
        </w:rPr>
        <w:t>Informace o Valném shromáždění IMPEL v Římě, Komunikační skupině a IRI v </w:t>
      </w:r>
      <w:proofErr w:type="gramStart"/>
      <w:r w:rsidRPr="006478DB">
        <w:rPr>
          <w:rStyle w:val="Siln"/>
          <w:bCs w:val="0"/>
          <w:color w:val="4F4F4F"/>
        </w:rPr>
        <w:t xml:space="preserve">ČR </w:t>
      </w:r>
      <w:r w:rsidR="00D205E1" w:rsidRPr="006478DB">
        <w:rPr>
          <w:rStyle w:val="Siln"/>
          <w:bCs w:val="0"/>
          <w:color w:val="4F4F4F"/>
        </w:rPr>
        <w:t xml:space="preserve"> – Lenka</w:t>
      </w:r>
      <w:proofErr w:type="gramEnd"/>
      <w:r w:rsidR="00D205E1" w:rsidRPr="006478DB">
        <w:rPr>
          <w:rStyle w:val="Siln"/>
          <w:bCs w:val="0"/>
          <w:color w:val="4F4F4F"/>
        </w:rPr>
        <w:t xml:space="preserve"> </w:t>
      </w:r>
      <w:r w:rsidRPr="006478DB">
        <w:rPr>
          <w:rStyle w:val="Siln"/>
          <w:bCs w:val="0"/>
          <w:color w:val="4F4F4F"/>
        </w:rPr>
        <w:t>Němcová</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Na Valném shromáždění byli představeni noví národní koordinátoři Dánska, Finska, Islandu, Lotyšska a Slovinska. Zástupce Itálie seznámil Valné shromáždění s činností organizace ISPRA. ISPRA byla založena ze dvou výzkumných organizací roku 2008 v rámci reformy. Zabývá se inspekcemi a monitoringem životního prostředí v oblastech znečištěné vody a půdy, průmyslových emisí a starých ekologických zátěží. ISPRA se skládá z 21 regionálních agentur a ředitelství, které sídlí v Římě. Celkem má 1300 zaměstnanců a kontroluje 185 zařízení pod směrnicí o průmyslových emisích (IPPC). Regionální úroveň je klíčová pro provádění inspekcí i celkovou práci organizace. Dále byli účastníci informováni o nejdůležitějších meznících vývoje sítě v roce 2014. Byla založena pracovní skupina pro nové strategické směřování sítě, byl změněn statut a pravidla sítě. Od ledna 2015 začne fungovat nová struktura sítě IMPEL , místo dvou clusterů bude pracovat 5 expertních skupin:</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Průmysl a ovzduší</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Odpady a přeshraniční přeprava odpadů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Voda a půda</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Příroda</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Průřezové nástroje a přístupy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Dále byl dohodnut mechanismus pro minimální kritéria u  návrhů nových projektů, u kterých bude muset být vypracovaný finanční plán, komunikační strategie a bude v nich muset být uvedeno,  jak budou realizovány a do kolika jazyků bude přeložena výsledná zpráva. Navržené projekty budou dále hodnoceny v jednotlivých expertních skupinách, toto hodnocení bude schváleno Výborem IMPEL a konečné rozhodnutí, zda projekt bude realizován, učiní Valné shromáždění IMPEL.</w:t>
      </w:r>
      <w:r w:rsidRPr="003A2776">
        <w:rPr>
          <w:rFonts w:ascii="Times New Roman" w:eastAsia="Times New Roman" w:hAnsi="Times New Roman" w:cs="Times New Roman"/>
          <w:b/>
          <w:bCs/>
          <w:color w:val="4F4F4F"/>
          <w:sz w:val="18"/>
          <w:szCs w:val="18"/>
          <w:lang w:eastAsia="cs-CZ"/>
        </w:rPr>
        <w:t xml:space="preserve">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t>Studie o implementačních výzvách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Terence </w:t>
      </w:r>
      <w:proofErr w:type="spellStart"/>
      <w:r w:rsidRPr="003A2776">
        <w:rPr>
          <w:rFonts w:ascii="Times New Roman" w:eastAsia="Times New Roman" w:hAnsi="Times New Roman" w:cs="Times New Roman"/>
          <w:color w:val="4F4F4F"/>
          <w:sz w:val="18"/>
          <w:szCs w:val="18"/>
          <w:lang w:eastAsia="cs-CZ"/>
        </w:rPr>
        <w:t>Shears</w:t>
      </w:r>
      <w:proofErr w:type="spellEnd"/>
      <w:r w:rsidRPr="003A2776">
        <w:rPr>
          <w:rFonts w:ascii="Times New Roman" w:eastAsia="Times New Roman" w:hAnsi="Times New Roman" w:cs="Times New Roman"/>
          <w:color w:val="4F4F4F"/>
          <w:sz w:val="18"/>
          <w:szCs w:val="18"/>
          <w:lang w:eastAsia="cs-CZ"/>
        </w:rPr>
        <w:t xml:space="preserve"> z Velké Británie seznámil Valné shromáždění s návrhem zprávy k projektu o implementačních výzvách. Projekt byl zaměřen na zjištění nedostatků v implementaci a aplikaci práva EU a na zlepšení komunikace mezi členskými státy a Evropskou komisí. EK zjistila, že členské státy mají problémy s implementací legislativy EU v oblasti životního prostředí, jehož příčinou může být špatná transpozice a aplikace legislativy EU. EK prostřednictvím DG ENV připravila zprávu, ze které vyplývá, že odhadovaná částka za neimplementování legislativy životního prostředí EU činí cca 50 miliard eur každý rok. Tato částka nezahrnuje pouze dopad na životní prostředí, ale také dopady na lidské zdraví, např. náklady na léky a ztrátu pracovních dní, která je způsobená špatnou kvalitou ovzduší. V roce 2013 se jedna čtvrtina řízení o porušení práva z celkem 1300, které byly vedeny proti členským státům, týkala aplikace práva životního prostředí, což je vůbec nejvyšší počet ze všech oblasti (politik). Životní prostředí je také oblastí, na kterou si občané EU často stěžují, v roce 2013 EK obdržela 520 stížností týkajících se životního prostředí, což je druhé nejvyšší číslo v rámci politik EU. V rámci projektu byl nejdříve zaslán dotazník národním koordinátorům, dále proběhly rozhovory s některými členy IMPEL a s EK. Výsledky z dotazníků a rozhovorů byly diskutovány na workshopu v listopadu a byl vypracován návrh závěrečné zprávy projektu. Jedním z hlavních výstupů je nahrazení strategického plánu IMPEL  jednoduchým dvoustránkovým dokumentem. Klíčové výzvy</w:t>
      </w:r>
      <w:r w:rsidR="009C664B">
        <w:rPr>
          <w:rFonts w:ascii="Times New Roman" w:eastAsia="Times New Roman" w:hAnsi="Times New Roman" w:cs="Times New Roman"/>
          <w:color w:val="4F4F4F"/>
          <w:sz w:val="18"/>
          <w:szCs w:val="18"/>
          <w:lang w:eastAsia="cs-CZ"/>
        </w:rPr>
        <w:t xml:space="preserve">, </w:t>
      </w:r>
      <w:r w:rsidRPr="003A2776">
        <w:rPr>
          <w:rFonts w:ascii="Times New Roman" w:eastAsia="Times New Roman" w:hAnsi="Times New Roman" w:cs="Times New Roman"/>
          <w:color w:val="4F4F4F"/>
          <w:sz w:val="18"/>
          <w:szCs w:val="18"/>
          <w:lang w:eastAsia="cs-CZ"/>
        </w:rPr>
        <w:t>na které by se měl IMPEL zaměřit v rámci jednotlivých expertních skupin jsou:</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t>Voda a půda</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Klíčové implementační výzvy: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Znečištění ze zemědělství</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Nelegální čerpání vody, čerpání vody nad stanovený limit</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    Přetrvávající problémy se znečištěnou vodou, jejíž příčinou jsou neadekvátní investice a nedostatek čistíren odpadních vod a kanalizačních systémů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Monitorování a hodnocení chemických látek ve vodních nádržích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Regulace ochrany půdy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lastRenderedPageBreak/>
        <w:t>·    Protipovodňová opatření a jejich dopad na životní prostředí</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Spolupráce v rámci směrnice SEVESO III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t>Odpady a přeshraniční přeprava odpadů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Klíčové implementační výzvy: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Definice odpadu a identifikace „konečného odpadu“, zvláště tam kde dochází k exportu/importu materiálů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Dosažení recyklačních cílů stanovených v rámcové směrnici o odpadech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Snížení dopadů na životní prostředí u uzavřených skládek odpadů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Vypořádání se se specifickými problémovými oblastmi včetně autovraků, elektronického a elektrického odpadu, nemocničního odpadu, bioodpadu atd.</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Nebezpečné odpady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Inspekce a prosazování v oblasti přeshraniční přepravy odpadů – požadavek na inspekční plány do roku 2017. Potřeba zlepšení výměny informací a větší využití elektronických záznamů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Růst nelegálních činností a organizovaného zločinu v oblasti odpadů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Problémy způsobené špatným managementem zařízení k ukládání odpadů, včetně prachu a  zápachu</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t>Ochrana přírody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Klíčové implementační výzvy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Nedostatek pokroku v prosazování směrnice o ptácích k dosažení ochrany pro klíčové stanoviště a druhy uvedené v Natura 2000 skrze směrnici o stanovištích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Regulace tlaků na životní prostředí ze strany průmyslu, zemědělství a plánování využití půdy v oblastech ochrany přírody uvedených ve směrnici o stanovištích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Podpora implementace nařízení, kterým se stanoví povinnosti hospodářských subjektů uvádějících na trh dřevo a dřevařské výrobky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Mezinárodní obchod s ohroženými druhy volně žijících živočichů a rostlin</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t>Průmysl a ovzduší</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Klíčové implementační výzvy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Efektivní implementace směrnice o průmyslových emisích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    Závěry o definicích v Best </w:t>
      </w:r>
      <w:proofErr w:type="spellStart"/>
      <w:r w:rsidRPr="003A2776">
        <w:rPr>
          <w:rFonts w:ascii="Times New Roman" w:eastAsia="Times New Roman" w:hAnsi="Times New Roman" w:cs="Times New Roman"/>
          <w:color w:val="4F4F4F"/>
          <w:sz w:val="18"/>
          <w:szCs w:val="18"/>
          <w:lang w:eastAsia="cs-CZ"/>
        </w:rPr>
        <w:t>Available</w:t>
      </w:r>
      <w:proofErr w:type="spellEnd"/>
      <w:r w:rsidRPr="003A2776">
        <w:rPr>
          <w:rFonts w:ascii="Times New Roman" w:eastAsia="Times New Roman" w:hAnsi="Times New Roman" w:cs="Times New Roman"/>
          <w:color w:val="4F4F4F"/>
          <w:sz w:val="18"/>
          <w:szCs w:val="18"/>
          <w:lang w:eastAsia="cs-CZ"/>
        </w:rPr>
        <w:t xml:space="preserve"> </w:t>
      </w:r>
      <w:proofErr w:type="spellStart"/>
      <w:r w:rsidRPr="003A2776">
        <w:rPr>
          <w:rFonts w:ascii="Times New Roman" w:eastAsia="Times New Roman" w:hAnsi="Times New Roman" w:cs="Times New Roman"/>
          <w:color w:val="4F4F4F"/>
          <w:sz w:val="18"/>
          <w:szCs w:val="18"/>
          <w:lang w:eastAsia="cs-CZ"/>
        </w:rPr>
        <w:t>Techniques</w:t>
      </w:r>
      <w:proofErr w:type="spellEnd"/>
      <w:r w:rsidRPr="003A2776">
        <w:rPr>
          <w:rFonts w:ascii="Times New Roman" w:eastAsia="Times New Roman" w:hAnsi="Times New Roman" w:cs="Times New Roman"/>
          <w:color w:val="4F4F4F"/>
          <w:sz w:val="18"/>
          <w:szCs w:val="18"/>
          <w:lang w:eastAsia="cs-CZ"/>
        </w:rPr>
        <w:t xml:space="preserve"> (BAT) pro různé průmyslové sektory.  Porozumění tomu, jaká rozmezí u hodnot emisních limitů jsou aplikována v praxi.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Hodnocení dopadů emisí z průmyslu na kvalitu ovzduší a dosažení standardů kvality ovzduší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    Kontaminace půdy </w:t>
      </w:r>
    </w:p>
    <w:p w:rsid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Implementace přístupu veřejnosti k informacím vyplývajícím ze směrnice o průmyslových emisích, účast veřejnosti a transparentnost, sdílení informací jako jsou zprávy o inspekcích s veřejností, zlepšení vyřizování stížností</w:t>
      </w:r>
    </w:p>
    <w:p w:rsidR="009C664B" w:rsidRPr="003A2776" w:rsidRDefault="009C664B"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lastRenderedPageBreak/>
        <w:t xml:space="preserve">Přesahové nástroje a přístupy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Klíčové implementační výzvy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Nedostatek politické vůle a alokace potřebných zdrojů u organizací, které se zabývají ochranou životního prostředí, aby mohla být plně implementována legislativa EU</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    Odpovědnost za různé činnosti v rámci regulačního cyklu, které jsou vykonávány různými organizacemi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Komplexita legislativy a potenciální konflikty mezi různými oblastmi politik a legislativy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Integrované a harmonizované regulační režimy v různých oblastech životního prostředí, například v ochraně přírody, vody a zemědělství</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Nedostatečná kapacita organizací, které implementují legislativu EU</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Nedostatek informací pro efektivní plánování, vykonávání a rozhodování v rámci organizací, které se zabývají ochranou životního prostředí</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Složkový přístup místo integrovaného přístupu</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Dále byl zmiňován nedostatek znalostí na úrovni obcí, nízká úroveň pokut, různá interpretace směrnic mezi členskými státy a nedostatek legislativy pro malé a střední zařízení.</w:t>
      </w:r>
      <w:r w:rsidR="00C51D68">
        <w:rPr>
          <w:rFonts w:ascii="Times New Roman" w:eastAsia="Times New Roman" w:hAnsi="Times New Roman" w:cs="Times New Roman"/>
          <w:b/>
          <w:bCs/>
          <w:color w:val="4F4F4F"/>
          <w:sz w:val="18"/>
          <w:szCs w:val="18"/>
          <w:lang w:eastAsia="cs-CZ"/>
        </w:rPr>
        <w:t xml:space="preserve">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 </w:t>
      </w:r>
      <w:r w:rsidRPr="003A2776">
        <w:rPr>
          <w:rFonts w:ascii="Times New Roman" w:eastAsia="Times New Roman" w:hAnsi="Times New Roman" w:cs="Times New Roman"/>
          <w:b/>
          <w:bCs/>
          <w:color w:val="4F4F4F"/>
          <w:sz w:val="18"/>
          <w:szCs w:val="18"/>
          <w:lang w:eastAsia="cs-CZ"/>
        </w:rPr>
        <w:t>Návrhy nových projektů, pracovní program na rok 2015</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 xml:space="preserve">Expertní skupina odpady a TFS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1) Zpracování příručky a vytvoření platformy pro výměnu nejlepších postupů co se týká plánování inspekcí v přeshraniční přepravě odpadů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2) IMPEL TFS </w:t>
      </w:r>
      <w:proofErr w:type="spellStart"/>
      <w:r w:rsidRPr="003A2776">
        <w:rPr>
          <w:rFonts w:ascii="Times New Roman" w:eastAsia="Times New Roman" w:hAnsi="Times New Roman" w:cs="Times New Roman"/>
          <w:color w:val="4F4F4F"/>
          <w:sz w:val="18"/>
          <w:szCs w:val="18"/>
          <w:lang w:eastAsia="cs-CZ"/>
        </w:rPr>
        <w:t>prosazovací</w:t>
      </w:r>
      <w:proofErr w:type="spellEnd"/>
      <w:r w:rsidRPr="003A2776">
        <w:rPr>
          <w:rFonts w:ascii="Times New Roman" w:eastAsia="Times New Roman" w:hAnsi="Times New Roman" w:cs="Times New Roman"/>
          <w:color w:val="4F4F4F"/>
          <w:sz w:val="18"/>
          <w:szCs w:val="18"/>
          <w:lang w:eastAsia="cs-CZ"/>
        </w:rPr>
        <w:t xml:space="preserve"> akce 2015</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3) IMPEL TFS „Nejlepší postupy 2015“</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4) IMPEL TFS Konference</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5) Projekt o skládkách 2015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6) Projekt pro státní zástupce</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 xml:space="preserve">Expertní skupina průmysl a ovzduší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1) Poučení vyplývající z průmyslových havárií – 11. Seminář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2) Nejlepší praxe v regulaci zařízení na těžbu ropy a zemního plynu v pobřežních vodách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3) Společné inspekce průmyslových zařízení k zajištění srovnatelné úrovně implementace směrnice o průmyslových emisích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Expertní skupina Voda a půda</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1) IMPEL konference o půdě 2015 v rámci mezinárodního roku půdy 2015 a EXPA 2015 v Miláně </w:t>
      </w:r>
    </w:p>
    <w:p w:rsid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2) Překročení odběru vod a jejich nelegální odběr: zjištění a vyměření </w:t>
      </w:r>
    </w:p>
    <w:p w:rsidR="009C664B" w:rsidRDefault="009C664B"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p>
    <w:p w:rsidR="009C664B" w:rsidRPr="003A2776" w:rsidRDefault="009C664B"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lastRenderedPageBreak/>
        <w:t xml:space="preserve">Expertní skupina Ochrana přírody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1) Schůzka expertů expertní skupiny pro ochranu přírody – následující po IMPEL IRI zaměřené na ochranu přírody v Rumunsku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2) Případová studie o implementaci a provádění nařízení EU, kterým se stanoví povinnosti hospodářských subjektů uvádějících na trh dřevo a dřevařské výrobky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3) „Zelená IRI“ v členské zemi IMPEL – bude určeno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4) Nelegální zabíjení ptáků</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5) Ochrana přírody v povoleních a inspekcích implementace čl. 6(3) směrnice o stanovištních</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i/>
          <w:iCs/>
          <w:color w:val="4F4F4F"/>
          <w:sz w:val="18"/>
          <w:szCs w:val="18"/>
          <w:lang w:eastAsia="cs-CZ"/>
        </w:rPr>
        <w:t>Expertní skupina pro průřezové nástroje a přístupy</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1) Práce na hodnocení manažerských systémů společně s veřejností a privátním sektorem</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2) Mini-konference o využití technologie při regulaci, která umožní regulátorům být více efektivními</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3) Implementace nástroje </w:t>
      </w:r>
      <w:proofErr w:type="spellStart"/>
      <w:r w:rsidRPr="003A2776">
        <w:rPr>
          <w:rFonts w:ascii="Times New Roman" w:eastAsia="Times New Roman" w:hAnsi="Times New Roman" w:cs="Times New Roman"/>
          <w:color w:val="4F4F4F"/>
          <w:sz w:val="18"/>
          <w:szCs w:val="18"/>
          <w:lang w:eastAsia="cs-CZ"/>
        </w:rPr>
        <w:t>iDepend</w:t>
      </w:r>
      <w:proofErr w:type="spellEnd"/>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4) Databáze kritérií rizik a nástroj pro analýzu rizik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5) IRI v některém členském státu IMPEL (předběžně Česká republika, Turecko, Kosovo)</w:t>
      </w:r>
    </w:p>
    <w:p w:rsidR="003A2776" w:rsidRPr="003A2776" w:rsidRDefault="00C51D68"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Pr>
          <w:rFonts w:ascii="Times New Roman" w:eastAsia="Times New Roman" w:hAnsi="Times New Roman" w:cs="Times New Roman"/>
          <w:color w:val="4F4F4F"/>
          <w:sz w:val="18"/>
          <w:szCs w:val="18"/>
          <w:lang w:eastAsia="cs-CZ"/>
        </w:rPr>
        <w:t xml:space="preserve">V roce 2015 IMPEL obdržel příspěvek z LIFE+ ve výši 500 000,- €. </w:t>
      </w:r>
      <w:r>
        <w:rPr>
          <w:rFonts w:ascii="Times New Roman" w:eastAsia="Times New Roman" w:hAnsi="Times New Roman" w:cs="Times New Roman"/>
          <w:b/>
          <w:bCs/>
          <w:color w:val="4F4F4F"/>
          <w:sz w:val="18"/>
          <w:szCs w:val="18"/>
          <w:lang w:eastAsia="cs-CZ"/>
        </w:rPr>
        <w:t xml:space="preserve"> </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t>Volba předsedy a místopředsedy sítě IMPEL</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 xml:space="preserve">Proběhla volba předsedy a místopředsedy sítě IMPEL. Předsedou byl znovu zvolen John </w:t>
      </w:r>
      <w:proofErr w:type="spellStart"/>
      <w:r w:rsidRPr="003A2776">
        <w:rPr>
          <w:rFonts w:ascii="Times New Roman" w:eastAsia="Times New Roman" w:hAnsi="Times New Roman" w:cs="Times New Roman"/>
          <w:color w:val="4F4F4F"/>
          <w:sz w:val="18"/>
          <w:szCs w:val="18"/>
          <w:lang w:eastAsia="cs-CZ"/>
        </w:rPr>
        <w:t>Seager</w:t>
      </w:r>
      <w:proofErr w:type="spellEnd"/>
      <w:r w:rsidRPr="003A2776">
        <w:rPr>
          <w:rFonts w:ascii="Times New Roman" w:eastAsia="Times New Roman" w:hAnsi="Times New Roman" w:cs="Times New Roman"/>
          <w:color w:val="4F4F4F"/>
          <w:sz w:val="18"/>
          <w:szCs w:val="18"/>
          <w:lang w:eastAsia="cs-CZ"/>
        </w:rPr>
        <w:t xml:space="preserve"> (UK) a místopředsedou </w:t>
      </w:r>
      <w:proofErr w:type="spellStart"/>
      <w:r w:rsidRPr="003A2776">
        <w:rPr>
          <w:rFonts w:ascii="Times New Roman" w:eastAsia="Times New Roman" w:hAnsi="Times New Roman" w:cs="Times New Roman"/>
          <w:color w:val="4F4F4F"/>
          <w:sz w:val="18"/>
          <w:szCs w:val="18"/>
          <w:lang w:eastAsia="cs-CZ"/>
        </w:rPr>
        <w:t>Chris</w:t>
      </w:r>
      <w:proofErr w:type="spellEnd"/>
      <w:r w:rsidRPr="003A2776">
        <w:rPr>
          <w:rFonts w:ascii="Times New Roman" w:eastAsia="Times New Roman" w:hAnsi="Times New Roman" w:cs="Times New Roman"/>
          <w:color w:val="4F4F4F"/>
          <w:sz w:val="18"/>
          <w:szCs w:val="18"/>
          <w:lang w:eastAsia="cs-CZ"/>
        </w:rPr>
        <w:t xml:space="preserve"> </w:t>
      </w:r>
      <w:proofErr w:type="spellStart"/>
      <w:r w:rsidRPr="003A2776">
        <w:rPr>
          <w:rFonts w:ascii="Times New Roman" w:eastAsia="Times New Roman" w:hAnsi="Times New Roman" w:cs="Times New Roman"/>
          <w:color w:val="4F4F4F"/>
          <w:sz w:val="18"/>
          <w:szCs w:val="18"/>
          <w:lang w:eastAsia="cs-CZ"/>
        </w:rPr>
        <w:t>Dijkens</w:t>
      </w:r>
      <w:proofErr w:type="spellEnd"/>
      <w:r w:rsidRPr="003A2776">
        <w:rPr>
          <w:rFonts w:ascii="Times New Roman" w:eastAsia="Times New Roman" w:hAnsi="Times New Roman" w:cs="Times New Roman"/>
          <w:color w:val="4F4F4F"/>
          <w:sz w:val="18"/>
          <w:szCs w:val="18"/>
          <w:lang w:eastAsia="cs-CZ"/>
        </w:rPr>
        <w:t xml:space="preserve"> (NL).</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b/>
          <w:bCs/>
          <w:color w:val="4F4F4F"/>
          <w:sz w:val="18"/>
          <w:szCs w:val="18"/>
          <w:lang w:eastAsia="cs-CZ"/>
        </w:rPr>
        <w:t>Platba členských příspěvku</w:t>
      </w:r>
    </w:p>
    <w:p w:rsidR="003A2776" w:rsidRPr="003A2776" w:rsidRDefault="003A2776" w:rsidP="003A2776">
      <w:pPr>
        <w:spacing w:before="100" w:beforeAutospacing="1" w:after="100" w:afterAutospacing="1" w:line="240" w:lineRule="auto"/>
        <w:jc w:val="both"/>
        <w:rPr>
          <w:rFonts w:ascii="Times New Roman" w:eastAsia="Times New Roman" w:hAnsi="Times New Roman" w:cs="Times New Roman"/>
          <w:color w:val="4F4F4F"/>
          <w:sz w:val="18"/>
          <w:szCs w:val="18"/>
          <w:lang w:eastAsia="cs-CZ"/>
        </w:rPr>
      </w:pPr>
      <w:r w:rsidRPr="003A2776">
        <w:rPr>
          <w:rFonts w:ascii="Times New Roman" w:eastAsia="Times New Roman" w:hAnsi="Times New Roman" w:cs="Times New Roman"/>
          <w:color w:val="4F4F4F"/>
          <w:sz w:val="18"/>
          <w:szCs w:val="18"/>
          <w:lang w:eastAsia="cs-CZ"/>
        </w:rPr>
        <w:t>Michael Nicholson ze sekretariátu IMPEL informoval Valné shromáždění, že některé z členských organizací neplatí povinný členský příspěvek. Bylo dohodnuto, že pokud některá členská organizace nebude platit členský příspěvek po dobu tří let, bude vyloučena ze sítě IMPEL.</w:t>
      </w:r>
      <w:r w:rsidRPr="003A2776">
        <w:rPr>
          <w:rFonts w:ascii="Times New Roman" w:eastAsia="Times New Roman" w:hAnsi="Times New Roman" w:cs="Times New Roman"/>
          <w:b/>
          <w:bCs/>
          <w:color w:val="4F4F4F"/>
          <w:sz w:val="18"/>
          <w:szCs w:val="18"/>
          <w:lang w:eastAsia="cs-CZ"/>
        </w:rPr>
        <w:t xml:space="preserve"> </w:t>
      </w:r>
    </w:p>
    <w:p w:rsidR="00CF4002" w:rsidRPr="006478DB" w:rsidRDefault="003A2776" w:rsidP="006478DB">
      <w:pPr>
        <w:pStyle w:val="Normlnweb"/>
        <w:jc w:val="both"/>
        <w:rPr>
          <w:b/>
          <w:bCs/>
        </w:rPr>
      </w:pPr>
      <w:r w:rsidRPr="006478DB">
        <w:rPr>
          <w:b/>
          <w:bCs/>
        </w:rPr>
        <w:t> </w:t>
      </w:r>
      <w:r w:rsidR="00CF4002" w:rsidRPr="006478DB">
        <w:rPr>
          <w:b/>
          <w:bCs/>
        </w:rPr>
        <w:t>Projekty sítě IMPEL v ochraně přírody – Martin Baranyai</w:t>
      </w:r>
    </w:p>
    <w:p w:rsidR="00CF4002" w:rsidRPr="00CF4002" w:rsidRDefault="00CF4002" w:rsidP="00CF4002">
      <w:pPr>
        <w:pStyle w:val="Normlnweb"/>
        <w:rPr>
          <w:bCs/>
          <w:color w:val="4F4F4F"/>
          <w:sz w:val="18"/>
          <w:szCs w:val="18"/>
        </w:rPr>
      </w:pPr>
      <w:r w:rsidRPr="00CF4002">
        <w:rPr>
          <w:bCs/>
          <w:color w:val="4F4F4F"/>
          <w:sz w:val="18"/>
          <w:szCs w:val="18"/>
        </w:rPr>
        <w:t xml:space="preserve">   </w:t>
      </w:r>
      <w:proofErr w:type="spellStart"/>
      <w:r w:rsidRPr="00CF4002">
        <w:rPr>
          <w:bCs/>
          <w:color w:val="4F4F4F"/>
          <w:sz w:val="18"/>
          <w:szCs w:val="18"/>
        </w:rPr>
        <w:t>M.Baranyai</w:t>
      </w:r>
      <w:proofErr w:type="spellEnd"/>
      <w:r w:rsidRPr="00CF4002">
        <w:rPr>
          <w:bCs/>
          <w:color w:val="4F4F4F"/>
          <w:sz w:val="18"/>
          <w:szCs w:val="18"/>
        </w:rPr>
        <w:t xml:space="preserve"> informoval, že v roce 2015 budou realizovány následující projekty a aktivity IMPEL v ochraně přírody:</w:t>
      </w:r>
    </w:p>
    <w:p w:rsidR="00CF4002" w:rsidRPr="00CF4002" w:rsidRDefault="00CF4002" w:rsidP="00CF4002">
      <w:pPr>
        <w:pStyle w:val="Normlnweb"/>
        <w:numPr>
          <w:ilvl w:val="0"/>
          <w:numId w:val="15"/>
        </w:numPr>
        <w:rPr>
          <w:bCs/>
          <w:i/>
          <w:color w:val="4F4F4F"/>
          <w:sz w:val="18"/>
          <w:szCs w:val="18"/>
        </w:rPr>
      </w:pPr>
      <w:r w:rsidRPr="00CF4002">
        <w:rPr>
          <w:bCs/>
          <w:i/>
          <w:color w:val="4F4F4F"/>
          <w:sz w:val="18"/>
          <w:szCs w:val="18"/>
        </w:rPr>
        <w:t>Eliminace nezákonného zabíjení, chytání a obchodování s ptáky – III. fáze.</w:t>
      </w:r>
    </w:p>
    <w:p w:rsidR="00CF4002" w:rsidRPr="00CF4002" w:rsidRDefault="00CF4002" w:rsidP="00CF4002">
      <w:pPr>
        <w:pStyle w:val="Normlnweb"/>
        <w:numPr>
          <w:ilvl w:val="0"/>
          <w:numId w:val="15"/>
        </w:numPr>
        <w:rPr>
          <w:bCs/>
          <w:i/>
          <w:color w:val="4F4F4F"/>
          <w:sz w:val="18"/>
          <w:szCs w:val="18"/>
        </w:rPr>
      </w:pPr>
      <w:r w:rsidRPr="00CF4002">
        <w:rPr>
          <w:bCs/>
          <w:i/>
          <w:color w:val="4F4F4F"/>
          <w:sz w:val="18"/>
          <w:szCs w:val="18"/>
        </w:rPr>
        <w:t>Ochrana přírody při povolování a kontrolách průmyslových provozů – aplikace článku 6.3 směrnice o stanovištích – III. fáze</w:t>
      </w:r>
    </w:p>
    <w:p w:rsidR="00CF4002" w:rsidRPr="00CF4002" w:rsidRDefault="00CF4002" w:rsidP="00CF4002">
      <w:pPr>
        <w:pStyle w:val="Normlnweb"/>
        <w:numPr>
          <w:ilvl w:val="0"/>
          <w:numId w:val="15"/>
        </w:numPr>
        <w:rPr>
          <w:bCs/>
          <w:i/>
          <w:color w:val="4F4F4F"/>
          <w:sz w:val="18"/>
          <w:szCs w:val="18"/>
        </w:rPr>
      </w:pPr>
      <w:r w:rsidRPr="00CF4002">
        <w:rPr>
          <w:bCs/>
          <w:i/>
          <w:color w:val="4F4F4F"/>
          <w:sz w:val="18"/>
          <w:szCs w:val="18"/>
        </w:rPr>
        <w:t xml:space="preserve">IMPEL </w:t>
      </w:r>
      <w:proofErr w:type="spellStart"/>
      <w:r w:rsidRPr="00CF4002">
        <w:rPr>
          <w:bCs/>
          <w:i/>
          <w:color w:val="4F4F4F"/>
          <w:sz w:val="18"/>
          <w:szCs w:val="18"/>
        </w:rPr>
        <w:t>Review</w:t>
      </w:r>
      <w:proofErr w:type="spellEnd"/>
      <w:r w:rsidRPr="00CF4002">
        <w:rPr>
          <w:bCs/>
          <w:i/>
          <w:color w:val="4F4F4F"/>
          <w:sz w:val="18"/>
          <w:szCs w:val="18"/>
        </w:rPr>
        <w:t xml:space="preserve"> </w:t>
      </w:r>
      <w:proofErr w:type="spellStart"/>
      <w:r w:rsidRPr="00CF4002">
        <w:rPr>
          <w:bCs/>
          <w:i/>
          <w:color w:val="4F4F4F"/>
          <w:sz w:val="18"/>
          <w:szCs w:val="18"/>
        </w:rPr>
        <w:t>Initiative</w:t>
      </w:r>
      <w:proofErr w:type="spellEnd"/>
      <w:r w:rsidRPr="00CF4002">
        <w:rPr>
          <w:bCs/>
          <w:i/>
          <w:color w:val="4F4F4F"/>
          <w:sz w:val="18"/>
          <w:szCs w:val="18"/>
        </w:rPr>
        <w:t xml:space="preserve"> v Rumunsku II. fáze</w:t>
      </w:r>
    </w:p>
    <w:p w:rsidR="00CF4002" w:rsidRPr="00CF4002" w:rsidRDefault="00CF4002" w:rsidP="00CF4002">
      <w:pPr>
        <w:pStyle w:val="Normlnweb"/>
        <w:numPr>
          <w:ilvl w:val="0"/>
          <w:numId w:val="15"/>
        </w:numPr>
        <w:rPr>
          <w:bCs/>
          <w:i/>
          <w:color w:val="4F4F4F"/>
          <w:sz w:val="18"/>
          <w:szCs w:val="18"/>
        </w:rPr>
      </w:pPr>
      <w:r w:rsidRPr="00CF4002">
        <w:rPr>
          <w:bCs/>
          <w:i/>
          <w:color w:val="4F4F4F"/>
          <w:sz w:val="18"/>
          <w:szCs w:val="18"/>
        </w:rPr>
        <w:t>Projekt zaměření na implementaci nařízení č. 995/2010 (nařízení o dřevu)</w:t>
      </w:r>
    </w:p>
    <w:p w:rsidR="00931247" w:rsidRDefault="00CF4002" w:rsidP="00CF4002">
      <w:pPr>
        <w:pStyle w:val="Normlnweb"/>
        <w:rPr>
          <w:rStyle w:val="Siln"/>
          <w:color w:val="4F4F4F"/>
        </w:rPr>
      </w:pPr>
      <w:r w:rsidRPr="00CF4002">
        <w:rPr>
          <w:bCs/>
          <w:color w:val="4F4F4F"/>
          <w:sz w:val="18"/>
          <w:szCs w:val="18"/>
        </w:rPr>
        <w:t xml:space="preserve">   V projektu zaměřeném na implementaci nařízení EU č. 995/2010, kterým se stanoví povinností subjektů uvádějící na trh dřevo a dřevařské výrobky, se IMPEL snaží zmapovat situaci inspekční činnosti kompetentních orgánů, zejména nastavené systémy stanovení rizik pro kontroly hospodářských subjektů. Závěrem ilustroval tuto problematiku prezentací o nezákonných těžbách v rámci ČR. Z kontrolní činnosti vyplývá, že na území ČR působí několik organizovaných skupin, které provádí nezákonné těžby, lidé z těchto skupin jsou velmi vynalézaví a často mění metody protizákonné činnosti, proto je velmi problematické usvědčit pachatele. </w:t>
      </w:r>
      <w:r w:rsidR="003A2776" w:rsidRPr="003A2776">
        <w:rPr>
          <w:rStyle w:val="Siln"/>
          <w:color w:val="4F4F4F"/>
        </w:rPr>
        <w:t xml:space="preserve"> </w:t>
      </w:r>
    </w:p>
    <w:p w:rsidR="006478DB" w:rsidRDefault="006478DB" w:rsidP="00CF4002">
      <w:pPr>
        <w:pStyle w:val="Normlnweb"/>
        <w:rPr>
          <w:rStyle w:val="Siln"/>
          <w:color w:val="4F4F4F"/>
        </w:rPr>
      </w:pPr>
    </w:p>
    <w:p w:rsidR="006478DB" w:rsidRPr="006478DB" w:rsidRDefault="006478DB" w:rsidP="006478DB">
      <w:pPr>
        <w:pStyle w:val="Normlnweb"/>
        <w:jc w:val="both"/>
        <w:rPr>
          <w:lang w:eastAsia="ar-SA"/>
        </w:rPr>
      </w:pPr>
      <w:r w:rsidRPr="006478DB">
        <w:rPr>
          <w:b/>
          <w:bCs/>
        </w:rPr>
        <w:lastRenderedPageBreak/>
        <w:t>Inf</w:t>
      </w:r>
      <w:r>
        <w:rPr>
          <w:b/>
          <w:bCs/>
        </w:rPr>
        <w:t>or</w:t>
      </w:r>
      <w:r w:rsidRPr="006478DB">
        <w:rPr>
          <w:b/>
          <w:bCs/>
        </w:rPr>
        <w:t>mace o IMPEL Semináři „Lekce naučené z průmyslových havárií“ – Daniel Grůza</w:t>
      </w:r>
    </w:p>
    <w:p w:rsidR="006478DB" w:rsidRPr="006478DB" w:rsidRDefault="006478DB" w:rsidP="006478DB">
      <w:pPr>
        <w:pStyle w:val="Normlnweb"/>
        <w:jc w:val="both"/>
        <w:rPr>
          <w:bCs/>
          <w:color w:val="4F4F4F"/>
          <w:sz w:val="18"/>
          <w:szCs w:val="18"/>
        </w:rPr>
      </w:pPr>
      <w:r w:rsidRPr="006478DB">
        <w:rPr>
          <w:bCs/>
          <w:color w:val="4F4F4F"/>
          <w:sz w:val="18"/>
          <w:szCs w:val="18"/>
        </w:rPr>
        <w:t>Předmětem semináře, který je pořádán pod záštitou IMPEL v každém lichém roce, je prezentace významných havárií ve vztahu k SEVESO (PZH – prevence závažných havárií). Prezentace je doplněna rozborem příčin, jejich vyhodnocením, hodnocením následků, přijatých opatření a diskuzí s dotazy.</w:t>
      </w:r>
      <w:r w:rsidRPr="006478DB">
        <w:rPr>
          <w:bCs/>
          <w:color w:val="4F4F4F"/>
          <w:sz w:val="18"/>
          <w:szCs w:val="18"/>
        </w:rPr>
        <w:t xml:space="preserve"> </w:t>
      </w:r>
      <w:r w:rsidRPr="006478DB">
        <w:rPr>
          <w:bCs/>
          <w:color w:val="4F4F4F"/>
          <w:sz w:val="18"/>
          <w:szCs w:val="18"/>
        </w:rPr>
        <w:t>Prezentované havárie byly rozděleny do tematických celků: požáry, lidský faktor – „připravenost a odpovědnost“, pyrotechnika, technologické havárie způsobené záplavou, havárie potrubí, přeshraniční havárie.</w:t>
      </w:r>
    </w:p>
    <w:p w:rsidR="006478DB" w:rsidRPr="006478DB" w:rsidRDefault="006478DB" w:rsidP="006478DB">
      <w:pPr>
        <w:pStyle w:val="Normlnweb"/>
        <w:jc w:val="both"/>
        <w:rPr>
          <w:bCs/>
          <w:color w:val="4F4F4F"/>
          <w:sz w:val="18"/>
          <w:szCs w:val="18"/>
        </w:rPr>
      </w:pPr>
      <w:r w:rsidRPr="006478DB">
        <w:rPr>
          <w:bCs/>
          <w:color w:val="4F4F4F"/>
          <w:sz w:val="18"/>
          <w:szCs w:val="18"/>
        </w:rPr>
        <w:t>Prezentované případy byly rovněž hodnoceny pomocí „</w:t>
      </w:r>
      <w:proofErr w:type="spellStart"/>
      <w:r w:rsidRPr="006478DB">
        <w:rPr>
          <w:bCs/>
          <w:color w:val="4F4F4F"/>
          <w:sz w:val="18"/>
          <w:szCs w:val="18"/>
        </w:rPr>
        <w:t>European</w:t>
      </w:r>
      <w:proofErr w:type="spellEnd"/>
      <w:r w:rsidRPr="006478DB">
        <w:rPr>
          <w:bCs/>
          <w:color w:val="4F4F4F"/>
          <w:sz w:val="18"/>
          <w:szCs w:val="18"/>
        </w:rPr>
        <w:t xml:space="preserve"> </w:t>
      </w:r>
      <w:proofErr w:type="spellStart"/>
      <w:r w:rsidRPr="006478DB">
        <w:rPr>
          <w:bCs/>
          <w:color w:val="4F4F4F"/>
          <w:sz w:val="18"/>
          <w:szCs w:val="18"/>
        </w:rPr>
        <w:t>scale</w:t>
      </w:r>
      <w:proofErr w:type="spellEnd"/>
      <w:r w:rsidRPr="006478DB">
        <w:rPr>
          <w:bCs/>
          <w:color w:val="4F4F4F"/>
          <w:sz w:val="18"/>
          <w:szCs w:val="18"/>
        </w:rPr>
        <w:t xml:space="preserve"> </w:t>
      </w:r>
      <w:proofErr w:type="spellStart"/>
      <w:r w:rsidRPr="006478DB">
        <w:rPr>
          <w:bCs/>
          <w:color w:val="4F4F4F"/>
          <w:sz w:val="18"/>
          <w:szCs w:val="18"/>
        </w:rPr>
        <w:t>of</w:t>
      </w:r>
      <w:proofErr w:type="spellEnd"/>
      <w:r w:rsidRPr="006478DB">
        <w:rPr>
          <w:bCs/>
          <w:color w:val="4F4F4F"/>
          <w:sz w:val="18"/>
          <w:szCs w:val="18"/>
        </w:rPr>
        <w:t xml:space="preserve"> </w:t>
      </w:r>
      <w:proofErr w:type="spellStart"/>
      <w:r w:rsidRPr="006478DB">
        <w:rPr>
          <w:bCs/>
          <w:color w:val="4F4F4F"/>
          <w:sz w:val="18"/>
          <w:szCs w:val="18"/>
        </w:rPr>
        <w:t>industrial</w:t>
      </w:r>
      <w:proofErr w:type="spellEnd"/>
      <w:r w:rsidRPr="006478DB">
        <w:rPr>
          <w:bCs/>
          <w:color w:val="4F4F4F"/>
          <w:sz w:val="18"/>
          <w:szCs w:val="18"/>
        </w:rPr>
        <w:t xml:space="preserve"> </w:t>
      </w:r>
      <w:proofErr w:type="spellStart"/>
      <w:r w:rsidRPr="006478DB">
        <w:rPr>
          <w:bCs/>
          <w:color w:val="4F4F4F"/>
          <w:sz w:val="18"/>
          <w:szCs w:val="18"/>
        </w:rPr>
        <w:t>accidents</w:t>
      </w:r>
      <w:proofErr w:type="spellEnd"/>
      <w:r w:rsidRPr="006478DB">
        <w:rPr>
          <w:bCs/>
          <w:color w:val="4F4F4F"/>
          <w:sz w:val="18"/>
          <w:szCs w:val="18"/>
        </w:rPr>
        <w:t>“ v ukazatelích: uvolněné nebezpečné látky, lidské a sociální dopady, environmentální dopady, ekonomické dopady. Grafické výstupy v podobě 6 bodové stupnice jsou postaveny na limitech daných agendou SEVESO, v případech, kdy látka není zahrnuta do příslušných limitních prahů, dochází k nežádoucímu zkreslení výsledků (např. emise při požárech, úniky surové ropy apod.).</w:t>
      </w:r>
    </w:p>
    <w:p w:rsidR="006478DB" w:rsidRPr="006478DB" w:rsidRDefault="006478DB" w:rsidP="006478DB">
      <w:pPr>
        <w:pStyle w:val="Normlnweb"/>
        <w:jc w:val="both"/>
        <w:rPr>
          <w:bCs/>
          <w:color w:val="4F4F4F"/>
          <w:sz w:val="18"/>
          <w:szCs w:val="18"/>
        </w:rPr>
      </w:pPr>
      <w:r w:rsidRPr="006478DB">
        <w:rPr>
          <w:bCs/>
          <w:color w:val="4F4F4F"/>
          <w:sz w:val="18"/>
          <w:szCs w:val="18"/>
        </w:rPr>
        <w:t>Mezi nejčastěji se vyskytující příčiny havárií patří lidský faktor, změny ve výrobě (odstávky), nestandardní technologické postupy, únava materiálů atd., nejčastějšími původci jsou chemický průmysl, doprava a důlní činnost. Dle typologie pak 96% všech případů je únik závadné látky, dále požáry a exploze.</w:t>
      </w:r>
    </w:p>
    <w:p w:rsidR="009C664B" w:rsidRPr="006478DB" w:rsidRDefault="006478DB" w:rsidP="006478DB">
      <w:pPr>
        <w:pStyle w:val="Normlnweb"/>
        <w:jc w:val="both"/>
        <w:rPr>
          <w:b/>
          <w:sz w:val="18"/>
          <w:szCs w:val="18"/>
        </w:rPr>
      </w:pPr>
      <w:r w:rsidRPr="006478DB">
        <w:rPr>
          <w:bCs/>
          <w:color w:val="4F4F4F"/>
          <w:sz w:val="18"/>
          <w:szCs w:val="18"/>
        </w:rPr>
        <w:t xml:space="preserve">V rámci zdůrazňovaných opatření byl opakován požadavek na pracovní kázeň a dodržování předepsaných postupů, nutnost vícenásobného zabezpečení a eliminaci </w:t>
      </w:r>
      <w:proofErr w:type="gramStart"/>
      <w:r w:rsidRPr="006478DB">
        <w:rPr>
          <w:bCs/>
          <w:color w:val="4F4F4F"/>
          <w:sz w:val="18"/>
          <w:szCs w:val="18"/>
        </w:rPr>
        <w:t>domino-efektu,  systémy</w:t>
      </w:r>
      <w:proofErr w:type="gramEnd"/>
      <w:r w:rsidRPr="006478DB">
        <w:rPr>
          <w:bCs/>
          <w:color w:val="4F4F4F"/>
          <w:sz w:val="18"/>
          <w:szCs w:val="18"/>
        </w:rPr>
        <w:t xml:space="preserve"> detekce úniků, potřebu kontrol i v nestandardních provozních podmínkách, případně v sezónních provozech. Za nový fenomén coby původce havárií byly pak označeny sklady a výrobny pyrotechniky a vzrůstající počet záplav s odkazem na holandský projekt „Dejte vodě prostor“. Provozy situované v lokalitách s předpokladem možného zaplavení musí být kontrolovány zejména na připravenost pro případ zaplavení jak z pohledu včasného informování, tak z hlediska technologického vybavení proti únikům závadných látek v případě zaplavení. Nad rámec IMPEL bylo prezentováno velké mezinárodní havarijní cvičení realizované společně Běloruskem, Litvou a Lotyšskem.</w:t>
      </w:r>
    </w:p>
    <w:p w:rsidR="00427A70" w:rsidRPr="006478DB" w:rsidRDefault="004D22C1" w:rsidP="009C664B">
      <w:pPr>
        <w:pStyle w:val="Normlnweb"/>
        <w:jc w:val="both"/>
        <w:rPr>
          <w:b/>
          <w:bCs/>
        </w:rPr>
      </w:pPr>
      <w:r w:rsidRPr="006478DB">
        <w:rPr>
          <w:b/>
          <w:bCs/>
        </w:rPr>
        <w:t>Informace</w:t>
      </w:r>
      <w:r w:rsidR="004A2027" w:rsidRPr="006478DB">
        <w:rPr>
          <w:b/>
          <w:bCs/>
        </w:rPr>
        <w:t xml:space="preserve"> o IMPEL</w:t>
      </w:r>
      <w:r w:rsidR="00427A70" w:rsidRPr="006478DB">
        <w:rPr>
          <w:b/>
          <w:bCs/>
        </w:rPr>
        <w:t xml:space="preserve"> workshopu T</w:t>
      </w:r>
      <w:r w:rsidR="004A2027" w:rsidRPr="006478DB">
        <w:rPr>
          <w:b/>
          <w:bCs/>
        </w:rPr>
        <w:t>FS</w:t>
      </w:r>
      <w:r w:rsidR="00427A70" w:rsidRPr="006478DB">
        <w:rPr>
          <w:b/>
          <w:bCs/>
        </w:rPr>
        <w:t xml:space="preserve"> </w:t>
      </w:r>
      <w:proofErr w:type="spellStart"/>
      <w:r w:rsidR="00427A70" w:rsidRPr="006478DB">
        <w:rPr>
          <w:b/>
          <w:bCs/>
        </w:rPr>
        <w:t>Enforcement</w:t>
      </w:r>
      <w:proofErr w:type="spellEnd"/>
      <w:r w:rsidR="00427A70" w:rsidRPr="006478DB">
        <w:rPr>
          <w:b/>
          <w:bCs/>
        </w:rPr>
        <w:t xml:space="preserve"> </w:t>
      </w:r>
      <w:proofErr w:type="spellStart"/>
      <w:r w:rsidR="00427A70" w:rsidRPr="006478DB">
        <w:rPr>
          <w:b/>
          <w:bCs/>
        </w:rPr>
        <w:t>Action</w:t>
      </w:r>
      <w:proofErr w:type="spellEnd"/>
      <w:r w:rsidR="00427A70" w:rsidRPr="006478DB">
        <w:rPr>
          <w:b/>
          <w:bCs/>
        </w:rPr>
        <w:t xml:space="preserve"> 2015 – Jitka Jenšovsk</w:t>
      </w:r>
      <w:r w:rsidR="004A2027" w:rsidRPr="006478DB">
        <w:rPr>
          <w:b/>
          <w:bCs/>
        </w:rPr>
        <w:t>á</w:t>
      </w:r>
      <w:r w:rsidR="00427A70" w:rsidRPr="006478DB">
        <w:rPr>
          <w:b/>
          <w:bCs/>
        </w:rPr>
        <w:t xml:space="preserve">     </w:t>
      </w:r>
    </w:p>
    <w:p w:rsidR="00427A70" w:rsidRDefault="00427A70" w:rsidP="009C664B">
      <w:pPr>
        <w:pStyle w:val="Normlnweb"/>
        <w:jc w:val="both"/>
        <w:rPr>
          <w:color w:val="4F4F4F"/>
          <w:sz w:val="18"/>
          <w:szCs w:val="18"/>
        </w:rPr>
      </w:pPr>
      <w:r w:rsidRPr="003A2776">
        <w:rPr>
          <w:color w:val="4F4F4F"/>
          <w:sz w:val="18"/>
          <w:szCs w:val="18"/>
        </w:rPr>
        <w:t>Konference se konala v</w:t>
      </w:r>
      <w:r w:rsidR="009C664B">
        <w:rPr>
          <w:color w:val="4F4F4F"/>
          <w:sz w:val="18"/>
          <w:szCs w:val="18"/>
        </w:rPr>
        <w:t> </w:t>
      </w:r>
      <w:r w:rsidRPr="003A2776">
        <w:rPr>
          <w:color w:val="4F4F4F"/>
          <w:sz w:val="18"/>
          <w:szCs w:val="18"/>
        </w:rPr>
        <w:t>Německ</w:t>
      </w:r>
      <w:r w:rsidR="009C664B">
        <w:rPr>
          <w:color w:val="4F4F4F"/>
          <w:sz w:val="18"/>
          <w:szCs w:val="18"/>
        </w:rPr>
        <w:t>u a</w:t>
      </w:r>
      <w:r w:rsidRPr="003A2776">
        <w:rPr>
          <w:color w:val="4F4F4F"/>
          <w:sz w:val="18"/>
          <w:szCs w:val="18"/>
        </w:rPr>
        <w:t xml:space="preserve"> účastnilo</w:t>
      </w:r>
      <w:r w:rsidR="009C664B">
        <w:rPr>
          <w:color w:val="4F4F4F"/>
          <w:sz w:val="18"/>
          <w:szCs w:val="18"/>
        </w:rPr>
        <w:t xml:space="preserve"> se jí</w:t>
      </w:r>
      <w:r w:rsidRPr="003A2776">
        <w:rPr>
          <w:color w:val="4F4F4F"/>
          <w:sz w:val="18"/>
          <w:szCs w:val="18"/>
        </w:rPr>
        <w:t xml:space="preserve"> celkem 33 zástupců inspekcí a agentur životního prostředí z celkem 26 členských států ES, Byla podána informace</w:t>
      </w:r>
      <w:r w:rsidR="00A02B50" w:rsidRPr="003A2776">
        <w:rPr>
          <w:color w:val="4F4F4F"/>
          <w:sz w:val="18"/>
          <w:szCs w:val="18"/>
        </w:rPr>
        <w:t xml:space="preserve"> o výsledcích 22 kontrolních </w:t>
      </w:r>
      <w:proofErr w:type="gramStart"/>
      <w:r w:rsidR="00A02B50" w:rsidRPr="003A2776">
        <w:rPr>
          <w:color w:val="4F4F4F"/>
          <w:sz w:val="18"/>
          <w:szCs w:val="18"/>
        </w:rPr>
        <w:t>akcích</w:t>
      </w:r>
      <w:proofErr w:type="gramEnd"/>
      <w:r w:rsidR="00A02B50" w:rsidRPr="003A2776">
        <w:rPr>
          <w:color w:val="4F4F4F"/>
          <w:sz w:val="18"/>
          <w:szCs w:val="18"/>
        </w:rPr>
        <w:t xml:space="preserve">, které již proběhly </w:t>
      </w:r>
      <w:r w:rsidRPr="003A2776">
        <w:rPr>
          <w:color w:val="4F4F4F"/>
          <w:sz w:val="18"/>
          <w:szCs w:val="18"/>
        </w:rPr>
        <w:t>(kontroly přeshraniční přepravy odpadů v blízkosti hraničních přechodů sousedních států, kontroly u odesílatelů (původců) odpadů, ve sběrných dvorech atp.).</w:t>
      </w:r>
      <w:r w:rsidR="00A02B50" w:rsidRPr="003A2776">
        <w:rPr>
          <w:color w:val="4F4F4F"/>
          <w:sz w:val="18"/>
          <w:szCs w:val="18"/>
        </w:rPr>
        <w:t xml:space="preserve"> Proběhla informac</w:t>
      </w:r>
      <w:r w:rsidR="009C664B">
        <w:rPr>
          <w:color w:val="4F4F4F"/>
          <w:sz w:val="18"/>
          <w:szCs w:val="18"/>
        </w:rPr>
        <w:t>e</w:t>
      </w:r>
      <w:r w:rsidR="00A02B50" w:rsidRPr="003A2776">
        <w:rPr>
          <w:color w:val="4F4F4F"/>
          <w:sz w:val="18"/>
          <w:szCs w:val="18"/>
        </w:rPr>
        <w:t xml:space="preserve"> </w:t>
      </w:r>
      <w:r w:rsidRPr="003A2776">
        <w:rPr>
          <w:color w:val="4F4F4F"/>
          <w:sz w:val="18"/>
          <w:szCs w:val="18"/>
        </w:rPr>
        <w:t xml:space="preserve">o projektu, který v současnosti probíhá ve Švédsku. Jedná se o to, že sebrané elektroodpady se v místě skladování před předáním oprávněnému zpracovateli označí jakýmsi miniaturním „čipem“, který zaznamenávají mýtné brány na hlavních silničních tazích. Tímto způsobem byly vysledovány trasy, kudy se odcizené elektroodpady ve velkém vyvážejí hlavně do sousedních zemí. </w:t>
      </w:r>
      <w:r w:rsidR="00A02B50" w:rsidRPr="003A2776">
        <w:rPr>
          <w:color w:val="4F4F4F"/>
          <w:sz w:val="18"/>
          <w:szCs w:val="18"/>
        </w:rPr>
        <w:t>Dále byl prezentován případ z Kypru, ve kterém byli účastníci informováni</w:t>
      </w:r>
      <w:r w:rsidRPr="003A2776">
        <w:rPr>
          <w:color w:val="4F4F4F"/>
          <w:sz w:val="18"/>
          <w:szCs w:val="18"/>
        </w:rPr>
        <w:t xml:space="preserve"> o případu vývozu odpadního papíru a lepenky do Malajsie. Přepravu od kyperského původce zajišťoval kyperský přepravce. Po nějaké době přišla informace, že malajský příjemce zásilku nepřevzal a o repatriaci zcela bez vysvětlení požádal řeckého přepravce, který měl inkriminovanou zásilku dopravit k odesílateli do Švýcarska. V diskusi se několik účastníků zmínilo o podobné zkušenosti, problémem je, že v případech, kdy je účastníkem případu některá třetí země, proces repatriace řídí sekretariát Basilejské konvence. Tato úmluva se zaměřuje na export a import hlavně nebezpečných odpadů. Když se jedná o odpady kategorie „ostatní“, byť ve velkém množství, je procedura velmi zdlouhavá a sekretariát není příliš aktivní.</w:t>
      </w:r>
      <w:r w:rsidR="009C664B">
        <w:rPr>
          <w:color w:val="4F4F4F"/>
          <w:sz w:val="18"/>
          <w:szCs w:val="18"/>
        </w:rPr>
        <w:t xml:space="preserve"> </w:t>
      </w:r>
      <w:r w:rsidRPr="003A2776">
        <w:rPr>
          <w:color w:val="4F4F4F"/>
          <w:sz w:val="18"/>
          <w:szCs w:val="18"/>
        </w:rPr>
        <w:t xml:space="preserve">Druhý pracovní den </w:t>
      </w:r>
      <w:r w:rsidR="00A02B50" w:rsidRPr="003A2776">
        <w:rPr>
          <w:color w:val="4F4F4F"/>
          <w:sz w:val="18"/>
          <w:szCs w:val="18"/>
        </w:rPr>
        <w:t>byli účastníci seznámeni s</w:t>
      </w:r>
      <w:r w:rsidRPr="003A2776">
        <w:rPr>
          <w:color w:val="4F4F4F"/>
          <w:sz w:val="18"/>
          <w:szCs w:val="18"/>
        </w:rPr>
        <w:t xml:space="preserve"> nov</w:t>
      </w:r>
      <w:r w:rsidR="004D22C1" w:rsidRPr="003A2776">
        <w:rPr>
          <w:color w:val="4F4F4F"/>
          <w:sz w:val="18"/>
          <w:szCs w:val="18"/>
        </w:rPr>
        <w:t>ým</w:t>
      </w:r>
      <w:r w:rsidRPr="003A2776">
        <w:rPr>
          <w:color w:val="4F4F4F"/>
          <w:sz w:val="18"/>
          <w:szCs w:val="18"/>
        </w:rPr>
        <w:t xml:space="preserve"> manuál</w:t>
      </w:r>
      <w:r w:rsidR="004D22C1" w:rsidRPr="003A2776">
        <w:rPr>
          <w:color w:val="4F4F4F"/>
          <w:sz w:val="18"/>
          <w:szCs w:val="18"/>
        </w:rPr>
        <w:t>em</w:t>
      </w:r>
      <w:r w:rsidRPr="003A2776">
        <w:rPr>
          <w:color w:val="4F4F4F"/>
          <w:sz w:val="18"/>
          <w:szCs w:val="18"/>
        </w:rPr>
        <w:t xml:space="preserve"> pro repatriaci odpadů. Manuál byl přepracován a doplněn především o praktické poznatky pracovníků jednotlivých příslušných orgánů člensk</w:t>
      </w:r>
      <w:r w:rsidRPr="00427A70">
        <w:rPr>
          <w:color w:val="4F4F4F"/>
          <w:sz w:val="18"/>
          <w:szCs w:val="18"/>
        </w:rPr>
        <w:t>ých států.</w:t>
      </w:r>
      <w:r w:rsidR="004D22C1">
        <w:rPr>
          <w:color w:val="4F4F4F"/>
          <w:sz w:val="18"/>
          <w:szCs w:val="18"/>
        </w:rPr>
        <w:t xml:space="preserve"> Německo</w:t>
      </w:r>
      <w:r w:rsidRPr="00427A70">
        <w:rPr>
          <w:color w:val="4F4F4F"/>
          <w:sz w:val="18"/>
          <w:szCs w:val="18"/>
        </w:rPr>
        <w:t xml:space="preserve"> prezentoval</w:t>
      </w:r>
      <w:r w:rsidR="004D22C1">
        <w:rPr>
          <w:color w:val="4F4F4F"/>
          <w:sz w:val="18"/>
          <w:szCs w:val="18"/>
        </w:rPr>
        <w:t>o</w:t>
      </w:r>
      <w:r w:rsidRPr="00427A70">
        <w:rPr>
          <w:color w:val="4F4F4F"/>
          <w:sz w:val="18"/>
          <w:szCs w:val="18"/>
        </w:rPr>
        <w:t xml:space="preserve"> studii týkající se nakládání s autovraky (vozidly s ukončenou životností) v Německu. Ukazuje se, že ve statistických údajích jsou velké rozdíly, dokonce až milion vozidel se někde „ztrácí“. Podobně jako v ČR porovnali počty nově registrovaných vozidel a vozidel z registru odhlášených (předány k recyklaci, vyvezené ze </w:t>
      </w:r>
      <w:proofErr w:type="gramStart"/>
      <w:r w:rsidRPr="00427A70">
        <w:rPr>
          <w:color w:val="4F4F4F"/>
          <w:sz w:val="18"/>
          <w:szCs w:val="18"/>
        </w:rPr>
        <w:t>země,..). Rozdíl</w:t>
      </w:r>
      <w:proofErr w:type="gramEnd"/>
      <w:r w:rsidRPr="00427A70">
        <w:rPr>
          <w:color w:val="4F4F4F"/>
          <w:sz w:val="18"/>
          <w:szCs w:val="18"/>
        </w:rPr>
        <w:t xml:space="preserve"> si vysvětlují tak, že velké množství „autovraků“ je rozebíráno v nelegálních dílnách.</w:t>
      </w:r>
      <w:r w:rsidR="004D22C1">
        <w:rPr>
          <w:color w:val="4F4F4F"/>
          <w:sz w:val="18"/>
          <w:szCs w:val="18"/>
        </w:rPr>
        <w:t xml:space="preserve"> </w:t>
      </w:r>
      <w:r w:rsidRPr="00427A70">
        <w:rPr>
          <w:color w:val="4F4F4F"/>
          <w:sz w:val="18"/>
          <w:szCs w:val="18"/>
        </w:rPr>
        <w:t xml:space="preserve">V další části programu byly diskutovány případové studie s následnou diskusí účastníků. Prvním byl příspěvek za ČR, který se týkal problematiky možného převážení kovového šrotu z CZ do zahraničí (PL, DE) jako důsledek zákazu platit ve sběrnách za tento odpad v hotovosti. ČIŽP se podílela na vytvoření Obrazového katalogu předmětů končících nelegálně ve výkupnách kovů. Jedná se především o kovové součásti železničních svršků, kabely k signalizačním zařízením, svodidla a zábradlí ze silnic, kanálové poklopy, </w:t>
      </w:r>
      <w:proofErr w:type="spellStart"/>
      <w:r w:rsidRPr="00427A70">
        <w:rPr>
          <w:color w:val="4F4F4F"/>
          <w:sz w:val="18"/>
          <w:szCs w:val="18"/>
        </w:rPr>
        <w:t>eklektro</w:t>
      </w:r>
      <w:proofErr w:type="spellEnd"/>
      <w:r w:rsidR="00464400">
        <w:rPr>
          <w:color w:val="4F4F4F"/>
          <w:sz w:val="18"/>
          <w:szCs w:val="18"/>
        </w:rPr>
        <w:t>-</w:t>
      </w:r>
      <w:r w:rsidR="009C664B">
        <w:rPr>
          <w:color w:val="4F4F4F"/>
          <w:sz w:val="18"/>
          <w:szCs w:val="18"/>
        </w:rPr>
        <w:t xml:space="preserve"> </w:t>
      </w:r>
      <w:r w:rsidRPr="00427A70">
        <w:rPr>
          <w:color w:val="4F4F4F"/>
          <w:sz w:val="18"/>
          <w:szCs w:val="18"/>
        </w:rPr>
        <w:t>odpady a další předměty rázu obecně prospěšného charakteru nebo kovové předměty uměleckého, bohoslužebného nebo pietního rázu. O tento katalog byl mezi účastníky velký zájem. České sdělovací prostředky opakovaně zmiňovaly v několika reportážích, že kovové odpady z ČR nyní končí v zahraničních sběrnách. Kolegové ze sousedních zemí slíbili, že se nyní více zaměří na kontrolu fyzických osob a podají zprávu, zda se ze strany médií jednalo pouze o „poplašnou zprávu“ nebo zda má tato informace reálný základ.</w:t>
      </w:r>
      <w:r w:rsidR="00A02B50">
        <w:rPr>
          <w:color w:val="4F4F4F"/>
          <w:sz w:val="18"/>
          <w:szCs w:val="18"/>
        </w:rPr>
        <w:t xml:space="preserve"> </w:t>
      </w:r>
      <w:r w:rsidRPr="00427A70">
        <w:rPr>
          <w:color w:val="4F4F4F"/>
          <w:sz w:val="18"/>
          <w:szCs w:val="18"/>
        </w:rPr>
        <w:t>Druhým případem byl dovoz zrcadlových střepů z Číny do CZ. Český výrobce umělého kamene dováží „speciálně připravenou směs střepů“ deklarovanou jako vedlejší produkt. Dle názoru českých kontrolních orgánů, celníků i ministerstva se v tomto případě jedná o dovoz odpadů a nikoliv „produktu“. Jelikož zástupce této společnosti prohlásil, že problémy s dovozem této „komodity“ má jen ČR, že stejné zásilky putují z Číny rovněž do Španělska a Velké Británie, požádala jsem kolegy z těchto zemí, zda by situaci ověřili a informovali nás o výsledku. V naprosté většině se účastníci diskuse přiklonili k názoru, že zrcadlové střepy jsou odpadem a nikoliv produktem.</w:t>
      </w:r>
      <w:r w:rsidR="00A02B50">
        <w:rPr>
          <w:color w:val="4F4F4F"/>
          <w:sz w:val="18"/>
          <w:szCs w:val="18"/>
        </w:rPr>
        <w:t xml:space="preserve"> </w:t>
      </w:r>
      <w:r w:rsidRPr="00427A70">
        <w:rPr>
          <w:color w:val="4F4F4F"/>
          <w:sz w:val="18"/>
          <w:szCs w:val="18"/>
        </w:rPr>
        <w:t xml:space="preserve">Posledním případem, který </w:t>
      </w:r>
      <w:r w:rsidR="00A02B50">
        <w:rPr>
          <w:color w:val="4F4F4F"/>
          <w:sz w:val="18"/>
          <w:szCs w:val="18"/>
        </w:rPr>
        <w:t>Jitka Jenšovská prezentovala</w:t>
      </w:r>
      <w:r w:rsidR="009C664B">
        <w:rPr>
          <w:color w:val="4F4F4F"/>
          <w:sz w:val="18"/>
          <w:szCs w:val="18"/>
        </w:rPr>
        <w:t>,</w:t>
      </w:r>
      <w:r w:rsidR="00A02B50">
        <w:rPr>
          <w:color w:val="4F4F4F"/>
          <w:sz w:val="18"/>
          <w:szCs w:val="18"/>
        </w:rPr>
        <w:t xml:space="preserve"> bylo</w:t>
      </w:r>
      <w:r w:rsidRPr="00427A70">
        <w:rPr>
          <w:color w:val="4F4F4F"/>
          <w:sz w:val="18"/>
          <w:szCs w:val="18"/>
        </w:rPr>
        <w:t xml:space="preserve"> podivné nakládání s autovraky. Český provozovatel zařízení ke sběru a výkupu autovraků vozidlo převezme (koupí???), možná něco „odmontuje“ a následně předá vozidlo do zařízení ke zpracování autovraků v Polsku. Polský zpracovatel vystaví potvrzení o přijetí „nekompletního vozidla“.  Na základě tohoto </w:t>
      </w:r>
      <w:r w:rsidRPr="00427A70">
        <w:rPr>
          <w:color w:val="4F4F4F"/>
          <w:sz w:val="18"/>
          <w:szCs w:val="18"/>
        </w:rPr>
        <w:lastRenderedPageBreak/>
        <w:t xml:space="preserve">potvrzení mohou původní majitelé těchto vozidel žádat o vyřazení z registru vozidel. Úřad ORP, který toto vyřazení provádí, kontaktuje MŽP s dotazem, zda je zařízení v Polsku oprávněné přijímat autovraky. Po ověření MŽP zanese příslušné údaje do systému MA ISOH. S kolegy z Polska bylo dohodnuto, že provedou kontrolu jejich zpracovatelského zařízení, na české straně provedeme stejnou kontrolu a z výsledku snad poznáme, zda se v tomto případě jedná o nelegální přeshraniční přepravu odpadů. </w:t>
      </w:r>
    </w:p>
    <w:p w:rsidR="00BB0734" w:rsidRDefault="00BB0734" w:rsidP="00BB0734">
      <w:pPr>
        <w:pStyle w:val="Normlnweb"/>
        <w:jc w:val="both"/>
        <w:rPr>
          <w:b/>
          <w:color w:val="4F4F4F"/>
        </w:rPr>
      </w:pPr>
      <w:r w:rsidRPr="00BB0734">
        <w:rPr>
          <w:b/>
          <w:color w:val="4F4F4F"/>
        </w:rPr>
        <w:t>Informace o účasti na Implementačním projektu IMPEL k směrnici o průmyslových emisích spojených s exkurzí v ocelárně a na schůzce expertního týmu „Průmysl a ovzduší“ – Tomáš Augustin</w:t>
      </w:r>
    </w:p>
    <w:p w:rsidR="00BB0734" w:rsidRPr="00BB0734" w:rsidRDefault="00BB0734" w:rsidP="00BB0734">
      <w:pPr>
        <w:pStyle w:val="Normlnweb"/>
        <w:jc w:val="both"/>
        <w:rPr>
          <w:color w:val="4F4F4F"/>
          <w:sz w:val="18"/>
          <w:szCs w:val="18"/>
        </w:rPr>
      </w:pPr>
      <w:r>
        <w:rPr>
          <w:b/>
          <w:bCs/>
          <w:color w:val="4F4F4F"/>
          <w:sz w:val="18"/>
          <w:szCs w:val="18"/>
        </w:rPr>
        <w:t xml:space="preserve"> </w:t>
      </w:r>
      <w:r w:rsidRPr="00BB0734">
        <w:rPr>
          <w:color w:val="4F4F4F"/>
          <w:sz w:val="18"/>
          <w:szCs w:val="18"/>
        </w:rPr>
        <w:t>Projekt Implementační výzva</w:t>
      </w:r>
    </w:p>
    <w:p w:rsidR="00BB0734" w:rsidRPr="00BB0734" w:rsidRDefault="00BB0734" w:rsidP="00BB0734">
      <w:pPr>
        <w:pStyle w:val="Normlnweb"/>
        <w:rPr>
          <w:color w:val="4F4F4F"/>
          <w:sz w:val="18"/>
          <w:szCs w:val="18"/>
        </w:rPr>
      </w:pPr>
      <w:proofErr w:type="spellStart"/>
      <w:r w:rsidRPr="00BB0734">
        <w:rPr>
          <w:color w:val="4F4F4F"/>
          <w:sz w:val="18"/>
          <w:szCs w:val="18"/>
        </w:rPr>
        <w:t>Terry</w:t>
      </w:r>
      <w:proofErr w:type="spellEnd"/>
      <w:r w:rsidRPr="00BB0734">
        <w:rPr>
          <w:color w:val="4F4F4F"/>
          <w:sz w:val="18"/>
          <w:szCs w:val="18"/>
        </w:rPr>
        <w:t xml:space="preserve"> </w:t>
      </w:r>
      <w:proofErr w:type="spellStart"/>
      <w:r w:rsidRPr="00BB0734">
        <w:rPr>
          <w:color w:val="4F4F4F"/>
          <w:sz w:val="18"/>
          <w:szCs w:val="18"/>
        </w:rPr>
        <w:t>Shears</w:t>
      </w:r>
      <w:proofErr w:type="spellEnd"/>
      <w:r w:rsidRPr="00BB0734">
        <w:rPr>
          <w:color w:val="4F4F4F"/>
          <w:sz w:val="18"/>
          <w:szCs w:val="18"/>
        </w:rPr>
        <w:t xml:space="preserve"> </w:t>
      </w:r>
      <w:proofErr w:type="gramStart"/>
      <w:r w:rsidRPr="00BB0734">
        <w:rPr>
          <w:color w:val="4F4F4F"/>
          <w:sz w:val="18"/>
          <w:szCs w:val="18"/>
        </w:rPr>
        <w:t>seznámil</w:t>
      </w:r>
      <w:proofErr w:type="gramEnd"/>
      <w:r w:rsidRPr="00BB0734">
        <w:rPr>
          <w:color w:val="4F4F4F"/>
          <w:sz w:val="18"/>
          <w:szCs w:val="18"/>
        </w:rPr>
        <w:t xml:space="preserve"> účastníky s výsledky projektu Implementační výzva. Tento projekt dal najevo, že zůstaly značné implementační problémy v celém spektru právních předpisů v oblasti životního prostředí. Zajímavé je, že hlavní problémem nejsou ani tak nejasnosti v zákonech samotných, ale spíše  nedostatek zdrojů a nedostatek údajů. Dále úroveň ukládaných pokut za porušení předpisů v oblasti ŽP byla často vnímána jako nedostatečná.  </w:t>
      </w:r>
    </w:p>
    <w:p w:rsidR="00BB0734" w:rsidRPr="00BB0734" w:rsidRDefault="00BB0734" w:rsidP="00BB0734">
      <w:pPr>
        <w:pStyle w:val="Normlnweb"/>
        <w:rPr>
          <w:color w:val="4F4F4F"/>
          <w:sz w:val="18"/>
          <w:szCs w:val="18"/>
        </w:rPr>
      </w:pPr>
      <w:r w:rsidRPr="00BB0734">
        <w:rPr>
          <w:color w:val="4F4F4F"/>
          <w:sz w:val="18"/>
          <w:szCs w:val="18"/>
        </w:rPr>
        <w:t xml:space="preserve">Vývoji pracovního programu </w:t>
      </w:r>
    </w:p>
    <w:p w:rsidR="00BB0734" w:rsidRDefault="00BB0734" w:rsidP="00BB0734">
      <w:pPr>
        <w:pStyle w:val="Normlnweb"/>
        <w:rPr>
          <w:color w:val="4F4F4F"/>
          <w:sz w:val="18"/>
          <w:szCs w:val="18"/>
        </w:rPr>
      </w:pPr>
      <w:r w:rsidRPr="00BB0734">
        <w:rPr>
          <w:color w:val="4F4F4F"/>
          <w:sz w:val="18"/>
          <w:szCs w:val="18"/>
        </w:rPr>
        <w:t>Projekt by měl probíhat ve 3 fázích (fáze 2 a 3 závisí na výsledcích fáze 1)</w:t>
      </w:r>
    </w:p>
    <w:p w:rsidR="00BB0734" w:rsidRPr="00BB0734" w:rsidRDefault="00BB0734" w:rsidP="00BB0734">
      <w:pPr>
        <w:pStyle w:val="Normlnweb"/>
        <w:rPr>
          <w:color w:val="4F4F4F"/>
          <w:sz w:val="18"/>
          <w:szCs w:val="18"/>
        </w:rPr>
      </w:pPr>
      <w:r w:rsidRPr="00BB0734">
        <w:rPr>
          <w:color w:val="4F4F4F"/>
          <w:sz w:val="18"/>
          <w:szCs w:val="18"/>
        </w:rPr>
        <w:t>Fáze 1:</w:t>
      </w:r>
      <w:r>
        <w:rPr>
          <w:color w:val="4F4F4F"/>
          <w:sz w:val="18"/>
          <w:szCs w:val="18"/>
        </w:rPr>
        <w:t xml:space="preserve"> </w:t>
      </w:r>
      <w:r w:rsidRPr="00BB0734">
        <w:rPr>
          <w:color w:val="4F4F4F"/>
          <w:sz w:val="18"/>
          <w:szCs w:val="18"/>
        </w:rPr>
        <w:t xml:space="preserve">Vytvoření pracovního program, seznámení s přístupy jednotlivých zemí, stanovení nejlepších praktik, společné inspekce, vytvoření průvodce, </w:t>
      </w:r>
      <w:proofErr w:type="spellStart"/>
      <w:r w:rsidRPr="00BB0734">
        <w:rPr>
          <w:color w:val="4F4F4F"/>
          <w:sz w:val="18"/>
          <w:szCs w:val="18"/>
        </w:rPr>
        <w:t>Life</w:t>
      </w:r>
      <w:proofErr w:type="spellEnd"/>
      <w:r w:rsidRPr="00BB0734">
        <w:rPr>
          <w:color w:val="4F4F4F"/>
          <w:sz w:val="18"/>
          <w:szCs w:val="18"/>
        </w:rPr>
        <w:t xml:space="preserve">+ </w:t>
      </w:r>
      <w:proofErr w:type="spellStart"/>
      <w:r w:rsidRPr="00BB0734">
        <w:rPr>
          <w:color w:val="4F4F4F"/>
          <w:sz w:val="18"/>
          <w:szCs w:val="18"/>
        </w:rPr>
        <w:t>application</w:t>
      </w:r>
      <w:proofErr w:type="spellEnd"/>
      <w:r w:rsidRPr="00BB0734">
        <w:rPr>
          <w:color w:val="4F4F4F"/>
          <w:sz w:val="18"/>
          <w:szCs w:val="18"/>
        </w:rPr>
        <w:t xml:space="preserve"> </w:t>
      </w:r>
    </w:p>
    <w:p w:rsidR="00BB0734" w:rsidRPr="00BB0734" w:rsidRDefault="00BB0734" w:rsidP="00BB0734">
      <w:pPr>
        <w:pStyle w:val="Normlnweb"/>
        <w:rPr>
          <w:color w:val="4F4F4F"/>
          <w:sz w:val="18"/>
          <w:szCs w:val="18"/>
        </w:rPr>
      </w:pPr>
      <w:r w:rsidRPr="00BB0734">
        <w:rPr>
          <w:color w:val="4F4F4F"/>
          <w:sz w:val="18"/>
          <w:szCs w:val="18"/>
        </w:rPr>
        <w:t> </w:t>
      </w:r>
    </w:p>
    <w:p w:rsidR="00BB0734" w:rsidRPr="00BB0734" w:rsidRDefault="00BB0734" w:rsidP="00BB0734">
      <w:pPr>
        <w:pStyle w:val="Normlnweb"/>
        <w:rPr>
          <w:color w:val="4F4F4F"/>
          <w:sz w:val="18"/>
          <w:szCs w:val="18"/>
        </w:rPr>
      </w:pPr>
      <w:r w:rsidRPr="00BB0734">
        <w:rPr>
          <w:color w:val="4F4F4F"/>
          <w:sz w:val="18"/>
          <w:szCs w:val="18"/>
        </w:rPr>
        <w:t>Fáze 2: by se měla zabývat strategickými rizikovým</w:t>
      </w:r>
      <w:r>
        <w:rPr>
          <w:color w:val="4F4F4F"/>
          <w:sz w:val="18"/>
          <w:szCs w:val="18"/>
        </w:rPr>
        <w:t>i</w:t>
      </w:r>
      <w:r w:rsidRPr="00BB0734">
        <w:rPr>
          <w:color w:val="4F4F4F"/>
          <w:sz w:val="18"/>
          <w:szCs w:val="18"/>
        </w:rPr>
        <w:t xml:space="preserve"> kritérii, elektronickými záznamy, publikací výsledků, spolupráce mezi příslušnými orgány a zapojení veřejnosti </w:t>
      </w:r>
    </w:p>
    <w:p w:rsidR="00BB0734" w:rsidRPr="00BB0734" w:rsidRDefault="00BB0734" w:rsidP="00BB0734">
      <w:pPr>
        <w:pStyle w:val="Normlnweb"/>
        <w:rPr>
          <w:color w:val="4F4F4F"/>
          <w:sz w:val="18"/>
          <w:szCs w:val="18"/>
        </w:rPr>
      </w:pPr>
      <w:r w:rsidRPr="00BB0734">
        <w:rPr>
          <w:color w:val="4F4F4F"/>
          <w:sz w:val="18"/>
          <w:szCs w:val="18"/>
        </w:rPr>
        <w:t>Fáze 3: používání rizikových kritérií, návštěvy jednotlivých zemí a vzájemné hodnocení, používání elektronických záznamů, šíření výsledků  </w:t>
      </w:r>
    </w:p>
    <w:p w:rsidR="00BB0734" w:rsidRPr="00BB0734" w:rsidRDefault="00BB0734" w:rsidP="00BB0734">
      <w:pPr>
        <w:pStyle w:val="Normlnweb"/>
        <w:rPr>
          <w:color w:val="4F4F4F"/>
          <w:sz w:val="18"/>
          <w:szCs w:val="18"/>
        </w:rPr>
      </w:pPr>
      <w:r w:rsidRPr="00BB0734">
        <w:rPr>
          <w:color w:val="4F4F4F"/>
          <w:sz w:val="18"/>
          <w:szCs w:val="18"/>
        </w:rPr>
        <w:t>Organizace projektu:</w:t>
      </w:r>
    </w:p>
    <w:p w:rsidR="00BB0734" w:rsidRPr="00BB0734" w:rsidRDefault="00BB0734" w:rsidP="00BB0734">
      <w:pPr>
        <w:pStyle w:val="Normlnweb"/>
        <w:rPr>
          <w:color w:val="4F4F4F"/>
          <w:sz w:val="18"/>
          <w:szCs w:val="18"/>
        </w:rPr>
      </w:pPr>
      <w:r w:rsidRPr="00BB0734">
        <w:rPr>
          <w:color w:val="4F4F4F"/>
          <w:sz w:val="18"/>
          <w:szCs w:val="18"/>
        </w:rPr>
        <w:t>Účastníci byli rozděleni do 3 skupin za účelem identifikování priorit v rámci pracovního programu. Na základě výsledků práce těchto pracovních skupin se stanovily témata pro další práci a jako bezprostřední prioritní témata byla stanovena:</w:t>
      </w:r>
    </w:p>
    <w:p w:rsidR="00BB0734" w:rsidRPr="00BB0734" w:rsidRDefault="00BB0734" w:rsidP="00BB0734">
      <w:pPr>
        <w:pStyle w:val="Normlnweb"/>
        <w:rPr>
          <w:color w:val="4F4F4F"/>
          <w:sz w:val="18"/>
          <w:szCs w:val="18"/>
        </w:rPr>
      </w:pPr>
      <w:r w:rsidRPr="00BB0734">
        <w:rPr>
          <w:color w:val="4F4F4F"/>
          <w:sz w:val="18"/>
          <w:szCs w:val="18"/>
        </w:rPr>
        <w:t>- hodnocení nedodržení</w:t>
      </w:r>
    </w:p>
    <w:p w:rsidR="00BB0734" w:rsidRPr="00BB0734" w:rsidRDefault="00BB0734" w:rsidP="00BB0734">
      <w:pPr>
        <w:pStyle w:val="Normlnweb"/>
        <w:rPr>
          <w:color w:val="4F4F4F"/>
          <w:sz w:val="18"/>
          <w:szCs w:val="18"/>
        </w:rPr>
      </w:pPr>
      <w:r w:rsidRPr="00BB0734">
        <w:rPr>
          <w:color w:val="4F4F4F"/>
          <w:sz w:val="18"/>
          <w:szCs w:val="18"/>
        </w:rPr>
        <w:t>- informování veřejnosti</w:t>
      </w:r>
    </w:p>
    <w:p w:rsidR="00BB0734" w:rsidRPr="00BB0734" w:rsidRDefault="00BB0734" w:rsidP="00BB0734">
      <w:pPr>
        <w:pStyle w:val="Normlnweb"/>
        <w:rPr>
          <w:color w:val="4F4F4F"/>
          <w:sz w:val="18"/>
          <w:szCs w:val="18"/>
        </w:rPr>
      </w:pPr>
      <w:r w:rsidRPr="00BB0734">
        <w:rPr>
          <w:color w:val="4F4F4F"/>
          <w:sz w:val="18"/>
          <w:szCs w:val="18"/>
        </w:rPr>
        <w:t>- řešení při zavření / úpadku zařízení </w:t>
      </w:r>
    </w:p>
    <w:p w:rsidR="00BB0734" w:rsidRPr="00BB0734" w:rsidRDefault="00BB0734" w:rsidP="00BB0734">
      <w:pPr>
        <w:pStyle w:val="Normlnweb"/>
        <w:rPr>
          <w:color w:val="4F4F4F"/>
          <w:sz w:val="18"/>
          <w:szCs w:val="18"/>
        </w:rPr>
      </w:pPr>
      <w:r w:rsidRPr="00BB0734">
        <w:rPr>
          <w:color w:val="4F4F4F"/>
          <w:sz w:val="18"/>
          <w:szCs w:val="18"/>
        </w:rPr>
        <w:t xml:space="preserve">Příprava workshopu a konference. </w:t>
      </w:r>
    </w:p>
    <w:p w:rsidR="00BB0734" w:rsidRDefault="00BB0734" w:rsidP="00BB0734">
      <w:pPr>
        <w:pStyle w:val="Normlnweb"/>
        <w:rPr>
          <w:color w:val="4F4F4F"/>
          <w:sz w:val="18"/>
          <w:szCs w:val="18"/>
        </w:rPr>
      </w:pPr>
      <w:r w:rsidRPr="00BB0734">
        <w:rPr>
          <w:color w:val="4F4F4F"/>
          <w:sz w:val="18"/>
          <w:szCs w:val="18"/>
        </w:rPr>
        <w:t xml:space="preserve">Bylo dohodnuto, že workshop a konference budou konány společně. Workshop bude ve dnech 28. - 29. 4. 2015 a konference bude ve dnech 29. - 30. 4. 2015 v Belgickém </w:t>
      </w:r>
      <w:proofErr w:type="spellStart"/>
      <w:r w:rsidRPr="00BB0734">
        <w:rPr>
          <w:color w:val="4F4F4F"/>
          <w:sz w:val="18"/>
          <w:szCs w:val="18"/>
        </w:rPr>
        <w:t>Mons</w:t>
      </w:r>
      <w:proofErr w:type="spellEnd"/>
      <w:r w:rsidRPr="00BB0734">
        <w:rPr>
          <w:color w:val="4F4F4F"/>
          <w:sz w:val="18"/>
          <w:szCs w:val="18"/>
        </w:rPr>
        <w:t>, což bylo následně po návratu z jednání Belgickou stranou potvrzeno. Konference se zúčastní širší publikum z expertního týmu: Průmysl a ovzduší (</w:t>
      </w:r>
      <w:proofErr w:type="spellStart"/>
      <w:r w:rsidRPr="00BB0734">
        <w:rPr>
          <w:color w:val="4F4F4F"/>
          <w:sz w:val="18"/>
          <w:szCs w:val="18"/>
        </w:rPr>
        <w:t>Industry</w:t>
      </w:r>
      <w:proofErr w:type="spellEnd"/>
      <w:r w:rsidRPr="00BB0734">
        <w:rPr>
          <w:color w:val="4F4F4F"/>
          <w:sz w:val="18"/>
          <w:szCs w:val="18"/>
        </w:rPr>
        <w:t xml:space="preserve"> and Air). Výše uvedená 3 prioritní témata je nutné připravit do příštího workshopu (identifikovat problémy a nejlepší postupy v každém z prioritních témat a připravit prezentaci pro workshop v </w:t>
      </w:r>
      <w:proofErr w:type="spellStart"/>
      <w:r w:rsidRPr="00BB0734">
        <w:rPr>
          <w:color w:val="4F4F4F"/>
          <w:sz w:val="18"/>
          <w:szCs w:val="18"/>
        </w:rPr>
        <w:t>Mons</w:t>
      </w:r>
      <w:proofErr w:type="spellEnd"/>
      <w:r w:rsidRPr="00BB0734">
        <w:rPr>
          <w:color w:val="4F4F4F"/>
          <w:sz w:val="18"/>
          <w:szCs w:val="18"/>
        </w:rPr>
        <w:t xml:space="preserve">). Účastníci </w:t>
      </w:r>
      <w:proofErr w:type="gramStart"/>
      <w:r w:rsidRPr="00BB0734">
        <w:rPr>
          <w:color w:val="4F4F4F"/>
          <w:sz w:val="18"/>
          <w:szCs w:val="18"/>
        </w:rPr>
        <w:t>byly rozděleny</w:t>
      </w:r>
      <w:proofErr w:type="gramEnd"/>
      <w:r w:rsidRPr="00BB0734">
        <w:rPr>
          <w:color w:val="4F4F4F"/>
          <w:sz w:val="18"/>
          <w:szCs w:val="18"/>
        </w:rPr>
        <w:t xml:space="preserve"> pro přípravu těchto témat do třech skupin. T. Augustin je členem skupiny „Informování veřejnosti“. Členové skupiny předběžně dohodli témata práce v této pracovní skupině, bylo dohodnuto, že tyto body budou zapracovány do dotazníku, který bude zaslán členům pracovní skupiny ke schválení, případně doplnění  dalších požadovaných témat a k vyplnění. Tento dotazník musí být předběžně zpracován a vyplněn před videokonferencí prostřednictvím internetu členů této pracovní skupiny, která dle dohody zúčastněných proběhne dne 24. 3. 2015 a budou na ni projednány jednotlivé body na základě vyplněného dotazníku za jednotlivé země, dále se upraví a upřesní probíraná témata. Úkolem této skupiny je připravit část workshopu týkající se zveřejnění zpráv o kontrole, který proběhne v dubnu v </w:t>
      </w:r>
      <w:proofErr w:type="spellStart"/>
      <w:proofErr w:type="gramStart"/>
      <w:r w:rsidRPr="00BB0734">
        <w:rPr>
          <w:color w:val="4F4F4F"/>
          <w:sz w:val="18"/>
          <w:szCs w:val="18"/>
        </w:rPr>
        <w:t>Mons</w:t>
      </w:r>
      <w:proofErr w:type="spellEnd"/>
      <w:proofErr w:type="gramEnd"/>
      <w:r w:rsidRPr="00BB0734">
        <w:rPr>
          <w:color w:val="4F4F4F"/>
          <w:sz w:val="18"/>
          <w:szCs w:val="18"/>
        </w:rPr>
        <w:t>.  </w:t>
      </w:r>
    </w:p>
    <w:p w:rsidR="006478DB" w:rsidRPr="00BB0734" w:rsidRDefault="006478DB" w:rsidP="00BB0734">
      <w:pPr>
        <w:pStyle w:val="Normlnweb"/>
        <w:rPr>
          <w:color w:val="4F4F4F"/>
          <w:sz w:val="18"/>
          <w:szCs w:val="18"/>
        </w:rPr>
      </w:pPr>
    </w:p>
    <w:p w:rsidR="00BB0734" w:rsidRPr="00BB0734" w:rsidRDefault="00BB0734" w:rsidP="00BB0734">
      <w:pPr>
        <w:pStyle w:val="Normlnweb"/>
        <w:rPr>
          <w:color w:val="4F4F4F"/>
          <w:sz w:val="18"/>
          <w:szCs w:val="18"/>
        </w:rPr>
      </w:pPr>
      <w:r w:rsidRPr="00BB0734">
        <w:rPr>
          <w:color w:val="4F4F4F"/>
          <w:sz w:val="18"/>
          <w:szCs w:val="18"/>
        </w:rPr>
        <w:lastRenderedPageBreak/>
        <w:t xml:space="preserve">IED inspekce v Německu </w:t>
      </w:r>
    </w:p>
    <w:p w:rsidR="00BB0734" w:rsidRPr="00BB0734" w:rsidRDefault="00BB0734" w:rsidP="00BB0734">
      <w:pPr>
        <w:pStyle w:val="Normlnweb"/>
        <w:rPr>
          <w:color w:val="4F4F4F"/>
          <w:sz w:val="18"/>
          <w:szCs w:val="18"/>
        </w:rPr>
      </w:pPr>
      <w:r w:rsidRPr="00BB0734">
        <w:rPr>
          <w:color w:val="4F4F4F"/>
          <w:sz w:val="18"/>
          <w:szCs w:val="18"/>
        </w:rPr>
        <w:t xml:space="preserve">Ukázka plánování, provádění a reportingu z inspekcí podle IED v Německu (Horst </w:t>
      </w:r>
      <w:proofErr w:type="spellStart"/>
      <w:r w:rsidRPr="00BB0734">
        <w:rPr>
          <w:color w:val="4F4F4F"/>
          <w:sz w:val="18"/>
          <w:szCs w:val="18"/>
        </w:rPr>
        <w:t>Buether</w:t>
      </w:r>
      <w:proofErr w:type="spellEnd"/>
      <w:r w:rsidRPr="00BB0734">
        <w:rPr>
          <w:color w:val="4F4F4F"/>
          <w:sz w:val="18"/>
          <w:szCs w:val="18"/>
        </w:rPr>
        <w:t xml:space="preserve">, Hartmut </w:t>
      </w:r>
      <w:proofErr w:type="spellStart"/>
      <w:r w:rsidRPr="00BB0734">
        <w:rPr>
          <w:color w:val="4F4F4F"/>
          <w:sz w:val="18"/>
          <w:szCs w:val="18"/>
        </w:rPr>
        <w:t>Teutsch</w:t>
      </w:r>
      <w:proofErr w:type="spellEnd"/>
      <w:r w:rsidRPr="00BB0734">
        <w:rPr>
          <w:color w:val="4F4F4F"/>
          <w:sz w:val="18"/>
          <w:szCs w:val="18"/>
        </w:rPr>
        <w:t xml:space="preserve">). K plánování inspekční činnosti je využíván program IRAM, byly předvedeny ukázky plánu a programu kontrol, předvedena používaná kritéria rizik, která jsou uplatňována v rámci plánování prostřednictvím </w:t>
      </w:r>
      <w:proofErr w:type="spellStart"/>
      <w:r w:rsidRPr="00BB0734">
        <w:rPr>
          <w:color w:val="4F4F4F"/>
          <w:sz w:val="18"/>
          <w:szCs w:val="18"/>
        </w:rPr>
        <w:t>IRAMu</w:t>
      </w:r>
      <w:proofErr w:type="spellEnd"/>
      <w:r w:rsidRPr="00BB0734">
        <w:rPr>
          <w:color w:val="4F4F4F"/>
          <w:sz w:val="18"/>
          <w:szCs w:val="18"/>
        </w:rPr>
        <w:t xml:space="preserve"> a předvedeny byly inspekční zprávy a jejich publikace na internetu v Německu. V Brémách nejsou prováděny integrované inspekce, ale jsou zde samostatné správní orgány pro ovzduší, vodu, odpady. Po každé kontrole na místě je prováděna zpětná kontrola, zda by nemělo dojít ke změně hodnocení zařízení.  </w:t>
      </w:r>
    </w:p>
    <w:p w:rsidR="00BB0734" w:rsidRPr="00BB0734" w:rsidRDefault="00BB0734" w:rsidP="00BB0734">
      <w:pPr>
        <w:pStyle w:val="Normlnweb"/>
        <w:rPr>
          <w:color w:val="4F4F4F"/>
          <w:sz w:val="18"/>
          <w:szCs w:val="18"/>
        </w:rPr>
      </w:pPr>
      <w:r w:rsidRPr="00BB0734">
        <w:rPr>
          <w:color w:val="4F4F4F"/>
          <w:sz w:val="18"/>
          <w:szCs w:val="18"/>
        </w:rPr>
        <w:t xml:space="preserve">Exkurze do ocelárny </w:t>
      </w:r>
    </w:p>
    <w:p w:rsidR="00BB0734" w:rsidRPr="00BB0734" w:rsidRDefault="00BB0734" w:rsidP="00BB0734">
      <w:pPr>
        <w:pStyle w:val="Normlnweb"/>
        <w:rPr>
          <w:color w:val="4F4F4F"/>
          <w:sz w:val="18"/>
          <w:szCs w:val="18"/>
        </w:rPr>
      </w:pPr>
      <w:r w:rsidRPr="00BB0734">
        <w:rPr>
          <w:color w:val="4F4F4F"/>
          <w:sz w:val="18"/>
          <w:szCs w:val="18"/>
        </w:rPr>
        <w:t xml:space="preserve">Ocelárna </w:t>
      </w:r>
      <w:proofErr w:type="spellStart"/>
      <w:r w:rsidRPr="00BB0734">
        <w:rPr>
          <w:color w:val="4F4F4F"/>
          <w:sz w:val="18"/>
          <w:szCs w:val="18"/>
        </w:rPr>
        <w:t>Arcellor</w:t>
      </w:r>
      <w:proofErr w:type="spellEnd"/>
      <w:r w:rsidRPr="00BB0734">
        <w:rPr>
          <w:color w:val="4F4F4F"/>
          <w:sz w:val="18"/>
          <w:szCs w:val="18"/>
        </w:rPr>
        <w:t xml:space="preserve"> </w:t>
      </w:r>
      <w:proofErr w:type="spellStart"/>
      <w:r w:rsidRPr="00BB0734">
        <w:rPr>
          <w:color w:val="4F4F4F"/>
          <w:sz w:val="18"/>
          <w:szCs w:val="18"/>
        </w:rPr>
        <w:t>Mitall</w:t>
      </w:r>
      <w:proofErr w:type="spellEnd"/>
      <w:r w:rsidRPr="00BB0734">
        <w:rPr>
          <w:color w:val="4F4F4F"/>
          <w:sz w:val="18"/>
          <w:szCs w:val="18"/>
        </w:rPr>
        <w:t xml:space="preserve"> Brémy je na rozloze 700 Ha a pracuje v ní 320 zaměstnanců. Sekundárním odprášením byly sníženy emise prachu o 250t/rok. V porovnání s provozem dříve a nyní jsou hodnoty mezi léty 1990 až 2014 emisí </w:t>
      </w:r>
      <w:proofErr w:type="spellStart"/>
      <w:r w:rsidRPr="00BB0734">
        <w:rPr>
          <w:color w:val="4F4F4F"/>
          <w:sz w:val="18"/>
          <w:szCs w:val="18"/>
        </w:rPr>
        <w:t>NOx</w:t>
      </w:r>
      <w:proofErr w:type="spellEnd"/>
      <w:r w:rsidRPr="00BB0734">
        <w:rPr>
          <w:color w:val="4F4F4F"/>
          <w:sz w:val="18"/>
          <w:szCs w:val="18"/>
        </w:rPr>
        <w:t xml:space="preserve"> sníženy o 50% a TZL o 45%. V závodě dochází k výrobě elektrické energie spalováním vysokopecních plynů. V ocelárně je přístav na řece </w:t>
      </w:r>
      <w:proofErr w:type="spellStart"/>
      <w:r w:rsidRPr="00BB0734">
        <w:rPr>
          <w:color w:val="4F4F4F"/>
          <w:sz w:val="18"/>
          <w:szCs w:val="18"/>
        </w:rPr>
        <w:t>Wesser</w:t>
      </w:r>
      <w:proofErr w:type="spellEnd"/>
      <w:r w:rsidRPr="00BB0734">
        <w:rPr>
          <w:color w:val="4F4F4F"/>
          <w:sz w:val="18"/>
          <w:szCs w:val="18"/>
        </w:rPr>
        <w:t xml:space="preserve"> a uhlí je dopravováno lodní dopravou z Ruska a Ameriky.</w:t>
      </w:r>
    </w:p>
    <w:p w:rsidR="00BB0734" w:rsidRPr="00BB0734" w:rsidRDefault="00BB0734" w:rsidP="00BB0734">
      <w:pPr>
        <w:pStyle w:val="Normlnweb"/>
        <w:jc w:val="both"/>
        <w:rPr>
          <w:color w:val="4F4F4F"/>
          <w:sz w:val="18"/>
          <w:szCs w:val="18"/>
        </w:rPr>
      </w:pPr>
      <w:r w:rsidRPr="00BB0734">
        <w:rPr>
          <w:color w:val="4F4F4F"/>
          <w:sz w:val="18"/>
          <w:szCs w:val="18"/>
        </w:rPr>
        <w:t xml:space="preserve">Kapacity: </w:t>
      </w:r>
    </w:p>
    <w:p w:rsidR="00BB0734" w:rsidRPr="00BB0734" w:rsidRDefault="00BB0734" w:rsidP="00BB0734">
      <w:pPr>
        <w:pStyle w:val="Normlnweb"/>
        <w:jc w:val="both"/>
        <w:rPr>
          <w:color w:val="4F4F4F"/>
          <w:sz w:val="18"/>
          <w:szCs w:val="18"/>
        </w:rPr>
      </w:pPr>
      <w:r w:rsidRPr="00BB0734">
        <w:rPr>
          <w:color w:val="4F4F4F"/>
          <w:sz w:val="18"/>
          <w:szCs w:val="18"/>
        </w:rPr>
        <w:t>Koksovna 2 milionů tun koksu ročně</w:t>
      </w:r>
    </w:p>
    <w:p w:rsidR="00BB0734" w:rsidRPr="00BB0734" w:rsidRDefault="00BB0734" w:rsidP="00BB0734">
      <w:pPr>
        <w:pStyle w:val="Normlnweb"/>
        <w:jc w:val="both"/>
        <w:rPr>
          <w:color w:val="4F4F4F"/>
          <w:sz w:val="18"/>
          <w:szCs w:val="18"/>
        </w:rPr>
      </w:pPr>
      <w:r w:rsidRPr="00BB0734">
        <w:rPr>
          <w:color w:val="4F4F4F"/>
          <w:sz w:val="18"/>
          <w:szCs w:val="18"/>
        </w:rPr>
        <w:t>Vysoké pece max. výroba 3 600 000 t/rok surového železa</w:t>
      </w:r>
    </w:p>
    <w:p w:rsidR="00BB0734" w:rsidRPr="00BB0734" w:rsidRDefault="00BB0734" w:rsidP="00BB0734">
      <w:pPr>
        <w:pStyle w:val="Normlnweb"/>
        <w:jc w:val="both"/>
        <w:rPr>
          <w:color w:val="4F4F4F"/>
          <w:sz w:val="18"/>
          <w:szCs w:val="18"/>
        </w:rPr>
      </w:pPr>
      <w:r w:rsidRPr="00BB0734">
        <w:rPr>
          <w:color w:val="4F4F4F"/>
          <w:sz w:val="18"/>
          <w:szCs w:val="18"/>
        </w:rPr>
        <w:t>Ocelárna kapacita 3 700 000 t/rok</w:t>
      </w:r>
    </w:p>
    <w:p w:rsidR="00BB0734" w:rsidRPr="00BB0734" w:rsidRDefault="00BB0734" w:rsidP="00BB0734">
      <w:pPr>
        <w:pStyle w:val="Normlnweb"/>
        <w:jc w:val="both"/>
        <w:rPr>
          <w:color w:val="4F4F4F"/>
          <w:sz w:val="18"/>
          <w:szCs w:val="18"/>
        </w:rPr>
      </w:pPr>
      <w:r w:rsidRPr="00BB0734">
        <w:rPr>
          <w:color w:val="4F4F4F"/>
          <w:sz w:val="18"/>
          <w:szCs w:val="18"/>
        </w:rPr>
        <w:t>Válcování za tepla 4 500 000 t/rok</w:t>
      </w:r>
    </w:p>
    <w:p w:rsidR="00BB0734" w:rsidRPr="00BB0734" w:rsidRDefault="00BB0734" w:rsidP="00BB0734">
      <w:pPr>
        <w:pStyle w:val="Normlnweb"/>
        <w:jc w:val="both"/>
        <w:rPr>
          <w:color w:val="4F4F4F"/>
          <w:sz w:val="18"/>
          <w:szCs w:val="18"/>
        </w:rPr>
      </w:pPr>
      <w:r w:rsidRPr="00BB0734">
        <w:rPr>
          <w:color w:val="4F4F4F"/>
          <w:sz w:val="18"/>
          <w:szCs w:val="18"/>
        </w:rPr>
        <w:t>Válcování za tepla 2 000 000 t/rok + 550 000 t/rok</w:t>
      </w:r>
    </w:p>
    <w:p w:rsidR="00BB0734" w:rsidRPr="00BB0734" w:rsidRDefault="00BB0734" w:rsidP="00BB0734">
      <w:pPr>
        <w:pStyle w:val="Normlnweb"/>
        <w:jc w:val="both"/>
        <w:rPr>
          <w:color w:val="4F4F4F"/>
          <w:sz w:val="18"/>
          <w:szCs w:val="18"/>
        </w:rPr>
      </w:pPr>
      <w:r w:rsidRPr="00BB0734">
        <w:rPr>
          <w:color w:val="4F4F4F"/>
          <w:sz w:val="18"/>
          <w:szCs w:val="18"/>
        </w:rPr>
        <w:t>2 x žárová zinkovna</w:t>
      </w:r>
    </w:p>
    <w:p w:rsidR="00BB0734" w:rsidRDefault="00BB0734" w:rsidP="00BB0734">
      <w:pPr>
        <w:pStyle w:val="Normlnweb"/>
        <w:rPr>
          <w:color w:val="4F4F4F"/>
          <w:sz w:val="18"/>
          <w:szCs w:val="18"/>
        </w:rPr>
      </w:pPr>
      <w:r>
        <w:rPr>
          <w:color w:val="4F4F4F"/>
          <w:sz w:val="18"/>
          <w:szCs w:val="18"/>
        </w:rPr>
        <w:t>Na workshopu v</w:t>
      </w:r>
      <w:r w:rsidR="00C610B3">
        <w:rPr>
          <w:color w:val="4F4F4F"/>
          <w:sz w:val="18"/>
          <w:szCs w:val="18"/>
        </w:rPr>
        <w:t> </w:t>
      </w:r>
      <w:proofErr w:type="spellStart"/>
      <w:r>
        <w:rPr>
          <w:color w:val="4F4F4F"/>
          <w:sz w:val="18"/>
          <w:szCs w:val="18"/>
        </w:rPr>
        <w:t>Monsu</w:t>
      </w:r>
      <w:proofErr w:type="spellEnd"/>
      <w:r w:rsidR="00C610B3">
        <w:rPr>
          <w:color w:val="4F4F4F"/>
          <w:sz w:val="18"/>
          <w:szCs w:val="18"/>
        </w:rPr>
        <w:t xml:space="preserve"> byli účastníci seznámeni s prezentací o pokroku projektu, včetně prvních výsledků práce ve třech pracovních skupinách. </w:t>
      </w:r>
      <w:r w:rsidRPr="00BB0734">
        <w:rPr>
          <w:color w:val="4F4F4F"/>
          <w:sz w:val="18"/>
          <w:szCs w:val="18"/>
        </w:rPr>
        <w:t> </w:t>
      </w:r>
      <w:r w:rsidR="00C610B3">
        <w:rPr>
          <w:color w:val="4F4F4F"/>
          <w:sz w:val="18"/>
          <w:szCs w:val="18"/>
        </w:rPr>
        <w:t>V rámci workshopu bylo dohodnuto, že jako další pracovní priority budou následující témata:</w:t>
      </w:r>
    </w:p>
    <w:p w:rsidR="00C610B3" w:rsidRDefault="00C610B3" w:rsidP="00C610B3">
      <w:pPr>
        <w:pStyle w:val="Normlnweb"/>
        <w:numPr>
          <w:ilvl w:val="0"/>
          <w:numId w:val="8"/>
        </w:numPr>
        <w:rPr>
          <w:color w:val="4F4F4F"/>
          <w:sz w:val="18"/>
          <w:szCs w:val="18"/>
        </w:rPr>
      </w:pPr>
      <w:r>
        <w:rPr>
          <w:color w:val="4F4F4F"/>
          <w:sz w:val="18"/>
          <w:szCs w:val="18"/>
        </w:rPr>
        <w:t>BAT</w:t>
      </w:r>
    </w:p>
    <w:p w:rsidR="00C610B3" w:rsidRDefault="00C610B3" w:rsidP="00C610B3">
      <w:pPr>
        <w:pStyle w:val="Normlnweb"/>
        <w:numPr>
          <w:ilvl w:val="0"/>
          <w:numId w:val="8"/>
        </w:numPr>
        <w:rPr>
          <w:color w:val="4F4F4F"/>
          <w:sz w:val="18"/>
          <w:szCs w:val="18"/>
        </w:rPr>
      </w:pPr>
      <w:r>
        <w:rPr>
          <w:color w:val="4F4F4F"/>
          <w:sz w:val="18"/>
          <w:szCs w:val="18"/>
        </w:rPr>
        <w:t>Vlastní monitoring a reporting</w:t>
      </w:r>
    </w:p>
    <w:p w:rsidR="00C610B3" w:rsidRDefault="00C610B3" w:rsidP="00C610B3">
      <w:pPr>
        <w:pStyle w:val="Normlnweb"/>
        <w:numPr>
          <w:ilvl w:val="0"/>
          <w:numId w:val="8"/>
        </w:numPr>
        <w:rPr>
          <w:color w:val="4F4F4F"/>
          <w:sz w:val="18"/>
          <w:szCs w:val="18"/>
        </w:rPr>
      </w:pPr>
      <w:r>
        <w:rPr>
          <w:color w:val="4F4F4F"/>
          <w:sz w:val="18"/>
          <w:szCs w:val="18"/>
        </w:rPr>
        <w:t>Základní zpráva</w:t>
      </w:r>
    </w:p>
    <w:p w:rsidR="00C610B3" w:rsidRDefault="00C610B3" w:rsidP="00C610B3">
      <w:pPr>
        <w:pStyle w:val="Normlnweb"/>
        <w:rPr>
          <w:color w:val="4F4F4F"/>
          <w:sz w:val="18"/>
          <w:szCs w:val="18"/>
        </w:rPr>
      </w:pPr>
      <w:r>
        <w:rPr>
          <w:color w:val="4F4F4F"/>
          <w:sz w:val="18"/>
          <w:szCs w:val="18"/>
        </w:rPr>
        <w:t>Je nutné na těchto tématech zahájit přípravné práce, před dalším setkáním projektové týmu, které proběhne v říjnu v Bukurešti. V rámci projektu je rovněž zájem na brzkém zahájení společných inspekcí, nicméně otázkou zůstává, jak technicky zorganizovat výměnné inspekce.</w:t>
      </w:r>
    </w:p>
    <w:p w:rsidR="00C610B3" w:rsidRDefault="00C610B3" w:rsidP="00C610B3">
      <w:pPr>
        <w:pStyle w:val="Normlnweb"/>
        <w:rPr>
          <w:color w:val="4F4F4F"/>
          <w:sz w:val="18"/>
          <w:szCs w:val="18"/>
        </w:rPr>
      </w:pPr>
      <w:r>
        <w:rPr>
          <w:color w:val="4F4F4F"/>
          <w:sz w:val="18"/>
          <w:szCs w:val="18"/>
        </w:rPr>
        <w:t>Jednání expertního týmu – Průmysl a ovzduší</w:t>
      </w:r>
    </w:p>
    <w:p w:rsidR="00C610B3" w:rsidRDefault="00C610B3" w:rsidP="00C610B3">
      <w:pPr>
        <w:pStyle w:val="Normlnweb"/>
        <w:rPr>
          <w:color w:val="4F4F4F"/>
          <w:sz w:val="18"/>
          <w:szCs w:val="18"/>
        </w:rPr>
      </w:pPr>
      <w:r>
        <w:rPr>
          <w:color w:val="4F4F4F"/>
          <w:sz w:val="18"/>
          <w:szCs w:val="18"/>
        </w:rPr>
        <w:t xml:space="preserve">V rámci setkání expertního týmu proběhlo seznámení se s výsledky ostatních projektů týkajících se expertní skupiny Průmysl a ovzduší. Bylo dohodnuto, že budoucí zasedání Expertního týmu bude rozděleno do technických skupin a diskutovalo se nad oblastmi činnosti Expertního týmu. Bylo dohodnuto, že expertní tým by měl klást zvláštní důraz a přezkoumat problematiku kvality ovzduší a pachových látek z průmyslu a také problematiku amoniaku ze zemědělství a rovněž byla diskutována problematika hluku. </w:t>
      </w:r>
    </w:p>
    <w:p w:rsidR="005F0710" w:rsidRPr="005F0710" w:rsidRDefault="005F0710" w:rsidP="005F0710">
      <w:pPr>
        <w:pStyle w:val="Normlnweb"/>
        <w:jc w:val="both"/>
        <w:rPr>
          <w:b/>
          <w:color w:val="4F4F4F"/>
        </w:rPr>
      </w:pPr>
      <w:r w:rsidRPr="005F0710">
        <w:rPr>
          <w:b/>
          <w:color w:val="4F4F4F"/>
        </w:rPr>
        <w:t>Mezinárodní kontrolní projekty v roce 2015 v rámci agendy chemických látek – Martin Marko</w:t>
      </w:r>
    </w:p>
    <w:p w:rsidR="005F0710" w:rsidRPr="005F0710" w:rsidRDefault="005F0710" w:rsidP="005F0710">
      <w:pPr>
        <w:pStyle w:val="Normlnweb"/>
        <w:numPr>
          <w:ilvl w:val="0"/>
          <w:numId w:val="17"/>
        </w:numPr>
        <w:rPr>
          <w:color w:val="4F4F4F"/>
          <w:sz w:val="18"/>
          <w:szCs w:val="18"/>
        </w:rPr>
      </w:pPr>
      <w:r w:rsidRPr="005F0710">
        <w:rPr>
          <w:b/>
          <w:bCs/>
          <w:color w:val="4F4F4F"/>
          <w:sz w:val="18"/>
          <w:szCs w:val="18"/>
        </w:rPr>
        <w:t>OECD </w:t>
      </w:r>
      <w:proofErr w:type="spellStart"/>
      <w:r w:rsidRPr="005F0710">
        <w:rPr>
          <w:b/>
          <w:bCs/>
          <w:color w:val="4F4F4F"/>
          <w:sz w:val="18"/>
          <w:szCs w:val="18"/>
        </w:rPr>
        <w:t>Global</w:t>
      </w:r>
      <w:proofErr w:type="spellEnd"/>
      <w:r w:rsidRPr="005F0710">
        <w:rPr>
          <w:b/>
          <w:bCs/>
          <w:color w:val="4F4F4F"/>
          <w:sz w:val="18"/>
          <w:szCs w:val="18"/>
        </w:rPr>
        <w:t xml:space="preserve"> </w:t>
      </w:r>
      <w:proofErr w:type="spellStart"/>
      <w:r w:rsidRPr="005F0710">
        <w:rPr>
          <w:b/>
          <w:bCs/>
          <w:color w:val="4F4F4F"/>
          <w:sz w:val="18"/>
          <w:szCs w:val="18"/>
        </w:rPr>
        <w:t>Awareness-raising</w:t>
      </w:r>
      <w:proofErr w:type="spellEnd"/>
      <w:r w:rsidRPr="005F0710">
        <w:rPr>
          <w:b/>
          <w:bCs/>
          <w:color w:val="4F4F4F"/>
          <w:sz w:val="18"/>
          <w:szCs w:val="18"/>
        </w:rPr>
        <w:t xml:space="preserve"> </w:t>
      </w:r>
      <w:proofErr w:type="spellStart"/>
      <w:r w:rsidRPr="005F0710">
        <w:rPr>
          <w:b/>
          <w:bCs/>
          <w:color w:val="4F4F4F"/>
          <w:sz w:val="18"/>
          <w:szCs w:val="18"/>
        </w:rPr>
        <w:t>Campaign</w:t>
      </w:r>
      <w:proofErr w:type="spellEnd"/>
      <w:r w:rsidRPr="005F0710">
        <w:rPr>
          <w:b/>
          <w:bCs/>
          <w:color w:val="4F4F4F"/>
          <w:sz w:val="18"/>
          <w:szCs w:val="18"/>
        </w:rPr>
        <w:t xml:space="preserve"> on </w:t>
      </w:r>
      <w:proofErr w:type="spellStart"/>
      <w:r w:rsidRPr="005F0710">
        <w:rPr>
          <w:b/>
          <w:bCs/>
          <w:color w:val="4F4F4F"/>
          <w:sz w:val="18"/>
          <w:szCs w:val="18"/>
        </w:rPr>
        <w:t>Laundry</w:t>
      </w:r>
      <w:proofErr w:type="spellEnd"/>
      <w:r w:rsidRPr="005F0710">
        <w:rPr>
          <w:b/>
          <w:bCs/>
          <w:color w:val="4F4F4F"/>
          <w:sz w:val="18"/>
          <w:szCs w:val="18"/>
        </w:rPr>
        <w:t xml:space="preserve"> Detergent </w:t>
      </w:r>
      <w:proofErr w:type="spellStart"/>
      <w:r w:rsidRPr="005F0710">
        <w:rPr>
          <w:b/>
          <w:bCs/>
          <w:color w:val="4F4F4F"/>
          <w:sz w:val="18"/>
          <w:szCs w:val="18"/>
        </w:rPr>
        <w:t>Capsules</w:t>
      </w:r>
      <w:proofErr w:type="spellEnd"/>
    </w:p>
    <w:p w:rsidR="005F0710" w:rsidRPr="005F0710" w:rsidRDefault="005F0710" w:rsidP="005F0710">
      <w:pPr>
        <w:pStyle w:val="Normlnweb"/>
        <w:rPr>
          <w:color w:val="4F4F4F"/>
          <w:sz w:val="18"/>
          <w:szCs w:val="18"/>
        </w:rPr>
      </w:pPr>
      <w:r w:rsidRPr="005F0710">
        <w:rPr>
          <w:color w:val="4F4F4F"/>
          <w:sz w:val="18"/>
          <w:szCs w:val="18"/>
        </w:rPr>
        <w:t xml:space="preserve">V termínu 16. 3. – 23. 3. 2015 proběhla globální osvětová kampaň OECD zaměřená na prací kapsle, jejímž hlavním poselstvím je „Uchovávejte prací kapsle mimo dosah dětí“. Počet nehod souvisejících s pracími kapslemi v ČR je na vzestupu, podle dat z Toxikologického informačního střediska při Všeobecné fakultní nemocnici bylo řešeno 113 případů v roce 2010, ale v roce 2014 již 315 případů expozice lidí. V celosvětovém měřítku bylo ročně až 16 000 lidí (zjištěno v: USA, Japonsko, Česká republika, Nizozemí, Itálie, Francie, Španělsko, Estonsko, Lotyšsko, Maďarsko, Portugalsko, Korea, Belgie, Irsko a Austrálie), většinou dětí, vystaveno nebezpečí chemických látek obsažených v kapslích na praní/tabletách. Tato forma </w:t>
      </w:r>
      <w:r w:rsidRPr="005F0710">
        <w:rPr>
          <w:color w:val="4F4F4F"/>
          <w:sz w:val="18"/>
          <w:szCs w:val="18"/>
        </w:rPr>
        <w:lastRenderedPageBreak/>
        <w:t>pracích prostředků je pro děti mimořádně atraktivní především kvůli jejich tvaru a atraktivní barvě. V případě požití tekutiny pracího prostředku nacházející se v rozpustném obalu nebo při jejím kontaktu s očima, může způsobit závažné zranění, zejména u malých dětí.</w:t>
      </w:r>
    </w:p>
    <w:p w:rsidR="005F0710" w:rsidRPr="005F0710" w:rsidRDefault="005F0710" w:rsidP="005F0710">
      <w:pPr>
        <w:pStyle w:val="Normlnweb"/>
        <w:rPr>
          <w:color w:val="4F4F4F"/>
          <w:sz w:val="18"/>
          <w:szCs w:val="18"/>
        </w:rPr>
      </w:pPr>
      <w:r w:rsidRPr="005F0710">
        <w:rPr>
          <w:color w:val="4F4F4F"/>
          <w:sz w:val="18"/>
          <w:szCs w:val="18"/>
        </w:rPr>
        <w:t>Účast v přípravné fázi informační kampaně byla pro Českou inspekci životního prostředí (ČIŽP) podnětem k provedení kontrol na dodržování požadavků pro označování a balení pracích kapslí i kapslí do myček nádobí. ČIŽP při těchto kontrolách provedených od začátku roku 2015 zjistila porušení příslušných právních předpisů u 9 výrobků z 15. Tato porušení se týkala označení kapslí (např. výstražnými symboly nebezpečnosti) podle chemických předpisů. Nevhodné označení těchto kapslí může mít vliv na počet nehod a podcenění nebezpečnosti při nakládání s těmito chemickými směsmi spotřebiteli. S dodavateli špatně označených směsí budou zahájena správní řízení, ve kterých jim může být uložena pokuta až 4 mil. Kč. Kromě pracích kapslí zkontrolovala inspekce i 4 kapsle určené do myček nádobí, u nichž nebylo zjištěno porušení předpisů.</w:t>
      </w:r>
    </w:p>
    <w:p w:rsidR="005F0710" w:rsidRPr="005F0710" w:rsidRDefault="0037316C" w:rsidP="005F0710">
      <w:pPr>
        <w:pStyle w:val="Normlnweb"/>
        <w:rPr>
          <w:color w:val="4F4F4F"/>
          <w:sz w:val="18"/>
          <w:szCs w:val="18"/>
        </w:rPr>
      </w:pPr>
      <w:hyperlink r:id="rId8" w:history="1">
        <w:r w:rsidR="005F0710" w:rsidRPr="005F0710">
          <w:rPr>
            <w:rStyle w:val="Hypertextovodkaz"/>
            <w:sz w:val="18"/>
            <w:szCs w:val="18"/>
          </w:rPr>
          <w:t>http://ec.europa.eu/justice/newsroom/consumer-marketing/events/150316_en.htm</w:t>
        </w:r>
      </w:hyperlink>
    </w:p>
    <w:p w:rsidR="005F0710" w:rsidRPr="005F0710" w:rsidRDefault="005F0710" w:rsidP="005F0710">
      <w:pPr>
        <w:pStyle w:val="Normlnweb"/>
        <w:numPr>
          <w:ilvl w:val="0"/>
          <w:numId w:val="17"/>
        </w:numPr>
        <w:rPr>
          <w:b/>
          <w:bCs/>
          <w:color w:val="4F4F4F"/>
          <w:sz w:val="18"/>
          <w:szCs w:val="18"/>
        </w:rPr>
      </w:pPr>
      <w:proofErr w:type="spellStart"/>
      <w:r w:rsidRPr="005F0710">
        <w:rPr>
          <w:b/>
          <w:bCs/>
          <w:color w:val="4F4F4F"/>
          <w:sz w:val="18"/>
          <w:szCs w:val="18"/>
        </w:rPr>
        <w:t>Forum</w:t>
      </w:r>
      <w:proofErr w:type="spellEnd"/>
      <w:r w:rsidRPr="005F0710">
        <w:rPr>
          <w:b/>
          <w:bCs/>
          <w:color w:val="4F4F4F"/>
          <w:sz w:val="18"/>
          <w:szCs w:val="18"/>
        </w:rPr>
        <w:t xml:space="preserve"> Pilot Project on </w:t>
      </w:r>
      <w:proofErr w:type="spellStart"/>
      <w:r w:rsidRPr="005F0710">
        <w:rPr>
          <w:b/>
          <w:bCs/>
          <w:color w:val="4F4F4F"/>
          <w:sz w:val="18"/>
          <w:szCs w:val="18"/>
        </w:rPr>
        <w:t>Child</w:t>
      </w:r>
      <w:proofErr w:type="spellEnd"/>
      <w:r w:rsidRPr="005F0710">
        <w:rPr>
          <w:b/>
          <w:bCs/>
          <w:color w:val="4F4F4F"/>
          <w:sz w:val="18"/>
          <w:szCs w:val="18"/>
        </w:rPr>
        <w:t xml:space="preserve"> </w:t>
      </w:r>
      <w:proofErr w:type="spellStart"/>
      <w:r w:rsidRPr="005F0710">
        <w:rPr>
          <w:b/>
          <w:bCs/>
          <w:color w:val="4F4F4F"/>
          <w:sz w:val="18"/>
          <w:szCs w:val="18"/>
        </w:rPr>
        <w:t>Resistant</w:t>
      </w:r>
      <w:proofErr w:type="spellEnd"/>
      <w:r w:rsidRPr="005F0710">
        <w:rPr>
          <w:b/>
          <w:bCs/>
          <w:color w:val="4F4F4F"/>
          <w:sz w:val="18"/>
          <w:szCs w:val="18"/>
        </w:rPr>
        <w:t xml:space="preserve"> </w:t>
      </w:r>
      <w:proofErr w:type="spellStart"/>
      <w:r w:rsidRPr="005F0710">
        <w:rPr>
          <w:b/>
          <w:bCs/>
          <w:color w:val="4F4F4F"/>
          <w:sz w:val="18"/>
          <w:szCs w:val="18"/>
        </w:rPr>
        <w:t>Fastenings</w:t>
      </w:r>
      <w:proofErr w:type="spellEnd"/>
    </w:p>
    <w:p w:rsidR="005F0710" w:rsidRPr="005F0710" w:rsidRDefault="005F0710" w:rsidP="005F0710">
      <w:pPr>
        <w:pStyle w:val="Normlnweb"/>
        <w:rPr>
          <w:bCs/>
          <w:color w:val="4F4F4F"/>
          <w:sz w:val="18"/>
          <w:szCs w:val="18"/>
        </w:rPr>
      </w:pPr>
      <w:r w:rsidRPr="005F0710">
        <w:rPr>
          <w:b/>
          <w:bCs/>
          <w:color w:val="4F4F4F"/>
          <w:sz w:val="18"/>
          <w:szCs w:val="18"/>
        </w:rPr>
        <w:t>Inspektoři ČIŽP, OOH, agenda chemických látek se zúčastní pilotního projektu ECHA v termínu červenec-prosinec 2015, který je zaměřen na nebezpečné chemické směsi prodávané spotřebitelům, jejichž obal musí být vzhledem k jejich klasifikaci vybaven uzávěrem odolným proti otevření dětmi (UOPOD) a hmatatelnou výstrahou pro nevidomé (HVN). Zároveň by provedení obalu nemělo spotřebitele uvádět v omyl, například by nemělo dojít k záměně s potravinou nebo hračkou.</w:t>
      </w:r>
    </w:p>
    <w:p w:rsidR="005F0710" w:rsidRPr="005F0710" w:rsidRDefault="005F0710" w:rsidP="005F0710">
      <w:pPr>
        <w:pStyle w:val="Normlnweb"/>
        <w:rPr>
          <w:bCs/>
          <w:color w:val="4F4F4F"/>
          <w:sz w:val="18"/>
          <w:szCs w:val="18"/>
        </w:rPr>
      </w:pPr>
      <w:r w:rsidRPr="005F0710">
        <w:rPr>
          <w:b/>
          <w:bCs/>
          <w:color w:val="4F4F4F"/>
          <w:sz w:val="18"/>
          <w:szCs w:val="18"/>
        </w:rPr>
        <w:t xml:space="preserve">Kontrolováno bude široké spektrum výrobků pro spotřebitele, které pro ně představují riziko vzhledem k jejich klasifikaci (např. kategorie nebezpečnosti „žíravý“ nebo „akutní toxicita“ atd.). </w:t>
      </w:r>
    </w:p>
    <w:p w:rsidR="005F0710" w:rsidRPr="005F0710" w:rsidRDefault="0037316C" w:rsidP="005F0710">
      <w:pPr>
        <w:pStyle w:val="Normlnweb"/>
        <w:rPr>
          <w:bCs/>
          <w:color w:val="4F4F4F"/>
          <w:sz w:val="18"/>
          <w:szCs w:val="18"/>
        </w:rPr>
      </w:pPr>
      <w:hyperlink r:id="rId9" w:history="1">
        <w:r w:rsidR="005F0710" w:rsidRPr="005F0710">
          <w:rPr>
            <w:rStyle w:val="Hypertextovodkaz"/>
            <w:sz w:val="18"/>
            <w:szCs w:val="18"/>
          </w:rPr>
          <w:t>http://echa.europa.eu/view-article/-/journal_content/title/forums-new-project-focuses-on-child-resistant-fastenings</w:t>
        </w:r>
      </w:hyperlink>
    </w:p>
    <w:p w:rsidR="005F0710" w:rsidRPr="005F0710" w:rsidRDefault="005F0710" w:rsidP="005F0710">
      <w:pPr>
        <w:pStyle w:val="Normlnweb"/>
        <w:rPr>
          <w:b/>
          <w:bCs/>
          <w:color w:val="4F4F4F"/>
          <w:sz w:val="18"/>
          <w:szCs w:val="18"/>
          <w:u w:val="single"/>
          <w:lang w:val="en-US"/>
        </w:rPr>
      </w:pPr>
      <w:r w:rsidRPr="005F0710">
        <w:rPr>
          <w:color w:val="4F4F4F"/>
          <w:sz w:val="18"/>
          <w:szCs w:val="18"/>
          <w:u w:val="single"/>
        </w:rPr>
        <w:t>IMPEL projekt „</w:t>
      </w:r>
      <w:r w:rsidRPr="005F0710">
        <w:rPr>
          <w:b/>
          <w:bCs/>
          <w:color w:val="4F4F4F"/>
          <w:sz w:val="18"/>
          <w:szCs w:val="18"/>
          <w:u w:val="single"/>
          <w:lang w:val="en-US"/>
        </w:rPr>
        <w:t>Linking the Directive on Industrial Emissions and the REACH Regulation”</w:t>
      </w:r>
    </w:p>
    <w:p w:rsidR="006478DB" w:rsidRDefault="005F0710" w:rsidP="00BB0734">
      <w:pPr>
        <w:pStyle w:val="Normlnweb"/>
        <w:rPr>
          <w:bCs/>
          <w:color w:val="4F4F4F"/>
          <w:sz w:val="18"/>
          <w:szCs w:val="18"/>
        </w:rPr>
      </w:pPr>
      <w:r w:rsidRPr="005F0710">
        <w:rPr>
          <w:bCs/>
          <w:color w:val="4F4F4F"/>
          <w:sz w:val="18"/>
          <w:szCs w:val="18"/>
        </w:rPr>
        <w:t xml:space="preserve"> V termínu 24. – 26. 11. 2014 se uskutečnil v Berlíně workshop k projektu, který se zabývá vazbami mezi nařízením REACH a směrnicí o průmyslových emisích. Bližší základní informace a výstupy z projektu jsou uvedeny v</w:t>
      </w:r>
      <w:r>
        <w:rPr>
          <w:bCs/>
          <w:color w:val="4F4F4F"/>
          <w:sz w:val="18"/>
          <w:szCs w:val="18"/>
        </w:rPr>
        <w:t> prezentaci z porady</w:t>
      </w:r>
      <w:r w:rsidRPr="005F0710">
        <w:rPr>
          <w:bCs/>
          <w:color w:val="4F4F4F"/>
          <w:sz w:val="18"/>
          <w:szCs w:val="18"/>
        </w:rPr>
        <w:t>.</w:t>
      </w:r>
    </w:p>
    <w:p w:rsidR="006478DB" w:rsidRDefault="006478DB" w:rsidP="00BB0734">
      <w:pPr>
        <w:pStyle w:val="Normlnweb"/>
        <w:rPr>
          <w:bCs/>
          <w:color w:val="4F4F4F"/>
          <w:sz w:val="18"/>
          <w:szCs w:val="18"/>
        </w:rPr>
      </w:pPr>
    </w:p>
    <w:p w:rsidR="00BB0734" w:rsidRPr="00BB0734" w:rsidRDefault="006478DB" w:rsidP="00BB0734">
      <w:pPr>
        <w:pStyle w:val="Normlnweb"/>
        <w:rPr>
          <w:color w:val="4F4F4F"/>
          <w:sz w:val="18"/>
          <w:szCs w:val="18"/>
        </w:rPr>
      </w:pPr>
      <w:r>
        <w:rPr>
          <w:bCs/>
          <w:color w:val="4F4F4F"/>
          <w:sz w:val="18"/>
          <w:szCs w:val="18"/>
        </w:rPr>
        <w:t xml:space="preserve">Příští porada je plánována na listopad </w:t>
      </w:r>
      <w:r w:rsidR="00FF0725">
        <w:rPr>
          <w:bCs/>
          <w:color w:val="4F4F4F"/>
          <w:sz w:val="18"/>
          <w:szCs w:val="18"/>
        </w:rPr>
        <w:t>2015.</w:t>
      </w:r>
      <w:bookmarkStart w:id="0" w:name="_GoBack"/>
      <w:bookmarkEnd w:id="0"/>
      <w:r w:rsidR="00BB0734" w:rsidRPr="00BB0734">
        <w:rPr>
          <w:color w:val="4F4F4F"/>
          <w:sz w:val="18"/>
          <w:szCs w:val="18"/>
        </w:rPr>
        <w:t> </w:t>
      </w:r>
    </w:p>
    <w:p w:rsidR="00BB0734" w:rsidRPr="00BB0734" w:rsidRDefault="00BB0734" w:rsidP="00BB0734">
      <w:pPr>
        <w:pStyle w:val="Normlnweb"/>
        <w:jc w:val="both"/>
        <w:rPr>
          <w:color w:val="4F4F4F"/>
          <w:sz w:val="18"/>
          <w:szCs w:val="18"/>
        </w:rPr>
      </w:pPr>
      <w:r w:rsidRPr="00BB0734">
        <w:rPr>
          <w:color w:val="4F4F4F"/>
          <w:sz w:val="18"/>
          <w:szCs w:val="18"/>
        </w:rPr>
        <w:t> </w:t>
      </w:r>
    </w:p>
    <w:p w:rsidR="00464400" w:rsidRDefault="00464400" w:rsidP="009C664B">
      <w:pPr>
        <w:pStyle w:val="Normlnweb"/>
        <w:jc w:val="both"/>
        <w:rPr>
          <w:color w:val="4F4F4F"/>
          <w:sz w:val="18"/>
          <w:szCs w:val="18"/>
        </w:rPr>
      </w:pPr>
    </w:p>
    <w:p w:rsidR="00464400" w:rsidRPr="00427A70" w:rsidRDefault="00464400" w:rsidP="009C664B">
      <w:pPr>
        <w:pStyle w:val="Normlnweb"/>
        <w:jc w:val="both"/>
        <w:rPr>
          <w:color w:val="4F4F4F"/>
          <w:sz w:val="18"/>
          <w:szCs w:val="18"/>
        </w:rPr>
      </w:pPr>
    </w:p>
    <w:p w:rsidR="00427A70" w:rsidRPr="00427A70" w:rsidRDefault="00A02B50" w:rsidP="009C664B">
      <w:pPr>
        <w:pStyle w:val="Normlnweb"/>
        <w:jc w:val="both"/>
        <w:rPr>
          <w:color w:val="4F4F4F"/>
          <w:sz w:val="18"/>
          <w:szCs w:val="18"/>
        </w:rPr>
      </w:pPr>
      <w:r>
        <w:rPr>
          <w:color w:val="4F4F4F"/>
          <w:sz w:val="18"/>
          <w:szCs w:val="18"/>
        </w:rPr>
        <w:t xml:space="preserve"> </w:t>
      </w:r>
    </w:p>
    <w:p w:rsidR="008A7B8C" w:rsidRPr="008A7B8C" w:rsidRDefault="008A7B8C" w:rsidP="009C664B">
      <w:pPr>
        <w:pStyle w:val="Normlnweb"/>
        <w:jc w:val="both"/>
        <w:rPr>
          <w:rStyle w:val="Siln"/>
          <w:color w:val="4F4F4F"/>
        </w:rPr>
      </w:pPr>
    </w:p>
    <w:p w:rsidR="00670C9A" w:rsidRPr="001B6195" w:rsidRDefault="004D22C1" w:rsidP="00CE6D8B">
      <w:pPr>
        <w:pStyle w:val="Normlnweb"/>
        <w:jc w:val="both"/>
        <w:rPr>
          <w:rStyle w:val="Siln"/>
          <w:color w:val="4F4F4F"/>
        </w:rPr>
      </w:pPr>
      <w:r>
        <w:rPr>
          <w:rStyle w:val="Siln"/>
          <w:color w:val="4F4F4F"/>
        </w:rPr>
        <w:t xml:space="preserve"> </w:t>
      </w:r>
    </w:p>
    <w:p w:rsidR="0001766F" w:rsidRPr="001B6195" w:rsidRDefault="004D22C1" w:rsidP="00573360">
      <w:pPr>
        <w:jc w:val="both"/>
        <w:rPr>
          <w:rFonts w:ascii="Times New Roman" w:hAnsi="Times New Roman" w:cs="Times New Roman"/>
          <w:sz w:val="18"/>
          <w:szCs w:val="18"/>
        </w:rPr>
      </w:pPr>
      <w:r>
        <w:rPr>
          <w:rFonts w:ascii="Times New Roman" w:hAnsi="Times New Roman" w:cs="Times New Roman"/>
          <w:sz w:val="18"/>
          <w:szCs w:val="18"/>
        </w:rPr>
        <w:t xml:space="preserve"> </w:t>
      </w:r>
    </w:p>
    <w:p w:rsidR="0001766F" w:rsidRPr="001B6195" w:rsidRDefault="0001766F" w:rsidP="00573360">
      <w:pPr>
        <w:jc w:val="both"/>
        <w:rPr>
          <w:rFonts w:ascii="Times New Roman" w:hAnsi="Times New Roman" w:cs="Times New Roman"/>
          <w:sz w:val="18"/>
          <w:szCs w:val="18"/>
        </w:rPr>
      </w:pPr>
    </w:p>
    <w:p w:rsidR="0001766F" w:rsidRPr="001B6195" w:rsidRDefault="00573360" w:rsidP="00573360">
      <w:pPr>
        <w:jc w:val="both"/>
        <w:rPr>
          <w:rFonts w:ascii="Times New Roman" w:hAnsi="Times New Roman" w:cs="Times New Roman"/>
          <w:sz w:val="18"/>
          <w:szCs w:val="18"/>
        </w:rPr>
      </w:pPr>
      <w:r w:rsidRPr="001B6195">
        <w:rPr>
          <w:rFonts w:ascii="Times New Roman" w:hAnsi="Times New Roman" w:cs="Times New Roman"/>
          <w:sz w:val="18"/>
          <w:szCs w:val="18"/>
        </w:rPr>
        <w:t xml:space="preserve"> </w:t>
      </w:r>
    </w:p>
    <w:p w:rsidR="004E45E4" w:rsidRPr="001B6195" w:rsidRDefault="004E45E4" w:rsidP="00573360">
      <w:pPr>
        <w:jc w:val="both"/>
        <w:rPr>
          <w:rFonts w:ascii="Times New Roman" w:hAnsi="Times New Roman" w:cs="Times New Roman"/>
          <w:sz w:val="18"/>
          <w:szCs w:val="18"/>
        </w:rPr>
      </w:pPr>
    </w:p>
    <w:sectPr w:rsidR="004E45E4" w:rsidRPr="001B61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6C" w:rsidRDefault="0037316C" w:rsidP="005F0710">
      <w:pPr>
        <w:spacing w:after="0" w:line="240" w:lineRule="auto"/>
      </w:pPr>
      <w:r>
        <w:separator/>
      </w:r>
    </w:p>
  </w:endnote>
  <w:endnote w:type="continuationSeparator" w:id="0">
    <w:p w:rsidR="0037316C" w:rsidRDefault="0037316C" w:rsidP="005F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9751"/>
      <w:docPartObj>
        <w:docPartGallery w:val="Page Numbers (Bottom of Page)"/>
        <w:docPartUnique/>
      </w:docPartObj>
    </w:sdtPr>
    <w:sdtEndPr/>
    <w:sdtContent>
      <w:p w:rsidR="005F0710" w:rsidRDefault="005F0710">
        <w:pPr>
          <w:pStyle w:val="Zpat"/>
          <w:jc w:val="center"/>
        </w:pPr>
        <w:r>
          <w:fldChar w:fldCharType="begin"/>
        </w:r>
        <w:r>
          <w:instrText>PAGE   \* MERGEFORMAT</w:instrText>
        </w:r>
        <w:r>
          <w:fldChar w:fldCharType="separate"/>
        </w:r>
        <w:r w:rsidR="00FF0725">
          <w:rPr>
            <w:noProof/>
          </w:rPr>
          <w:t>9</w:t>
        </w:r>
        <w:r>
          <w:fldChar w:fldCharType="end"/>
        </w:r>
      </w:p>
    </w:sdtContent>
  </w:sdt>
  <w:p w:rsidR="005F0710" w:rsidRDefault="005F07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6C" w:rsidRDefault="0037316C" w:rsidP="005F0710">
      <w:pPr>
        <w:spacing w:after="0" w:line="240" w:lineRule="auto"/>
      </w:pPr>
      <w:r>
        <w:separator/>
      </w:r>
    </w:p>
  </w:footnote>
  <w:footnote w:type="continuationSeparator" w:id="0">
    <w:p w:rsidR="0037316C" w:rsidRDefault="0037316C" w:rsidP="005F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
    <w:nsid w:val="00000015"/>
    <w:multiLevelType w:val="multilevel"/>
    <w:tmpl w:val="00000015"/>
    <w:name w:val="WW8Num2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
    <w:nsid w:val="00000019"/>
    <w:multiLevelType w:val="singleLevel"/>
    <w:tmpl w:val="00000019"/>
    <w:name w:val="WW8Num25"/>
    <w:lvl w:ilvl="0">
      <w:start w:val="1"/>
      <w:numFmt w:val="bullet"/>
      <w:lvlText w:val=""/>
      <w:lvlJc w:val="left"/>
      <w:pPr>
        <w:tabs>
          <w:tab w:val="num" w:pos="360"/>
        </w:tabs>
        <w:ind w:left="360" w:hanging="360"/>
      </w:pPr>
      <w:rPr>
        <w:rFonts w:ascii="Symbol" w:hAnsi="Symbol" w:cs="Symbol"/>
      </w:rPr>
    </w:lvl>
  </w:abstractNum>
  <w:abstractNum w:abstractNumId="3">
    <w:nsid w:val="02650334"/>
    <w:multiLevelType w:val="hybridMultilevel"/>
    <w:tmpl w:val="9D2C0FA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nsid w:val="07270300"/>
    <w:multiLevelType w:val="hybridMultilevel"/>
    <w:tmpl w:val="91BEC322"/>
    <w:lvl w:ilvl="0" w:tplc="9AE6E792">
      <w:start w:val="1"/>
      <w:numFmt w:val="bullet"/>
      <w:lvlText w:val="•"/>
      <w:lvlJc w:val="left"/>
      <w:pPr>
        <w:tabs>
          <w:tab w:val="num" w:pos="720"/>
        </w:tabs>
        <w:ind w:left="720" w:hanging="360"/>
      </w:pPr>
      <w:rPr>
        <w:rFonts w:ascii="Times New Roman" w:hAnsi="Times New Roman" w:hint="default"/>
      </w:rPr>
    </w:lvl>
    <w:lvl w:ilvl="1" w:tplc="4D82010E" w:tentative="1">
      <w:start w:val="1"/>
      <w:numFmt w:val="bullet"/>
      <w:lvlText w:val="•"/>
      <w:lvlJc w:val="left"/>
      <w:pPr>
        <w:tabs>
          <w:tab w:val="num" w:pos="1440"/>
        </w:tabs>
        <w:ind w:left="1440" w:hanging="360"/>
      </w:pPr>
      <w:rPr>
        <w:rFonts w:ascii="Times New Roman" w:hAnsi="Times New Roman" w:hint="default"/>
      </w:rPr>
    </w:lvl>
    <w:lvl w:ilvl="2" w:tplc="DB06343C" w:tentative="1">
      <w:start w:val="1"/>
      <w:numFmt w:val="bullet"/>
      <w:lvlText w:val="•"/>
      <w:lvlJc w:val="left"/>
      <w:pPr>
        <w:tabs>
          <w:tab w:val="num" w:pos="2160"/>
        </w:tabs>
        <w:ind w:left="2160" w:hanging="360"/>
      </w:pPr>
      <w:rPr>
        <w:rFonts w:ascii="Times New Roman" w:hAnsi="Times New Roman" w:hint="default"/>
      </w:rPr>
    </w:lvl>
    <w:lvl w:ilvl="3" w:tplc="30128BC6" w:tentative="1">
      <w:start w:val="1"/>
      <w:numFmt w:val="bullet"/>
      <w:lvlText w:val="•"/>
      <w:lvlJc w:val="left"/>
      <w:pPr>
        <w:tabs>
          <w:tab w:val="num" w:pos="2880"/>
        </w:tabs>
        <w:ind w:left="2880" w:hanging="360"/>
      </w:pPr>
      <w:rPr>
        <w:rFonts w:ascii="Times New Roman" w:hAnsi="Times New Roman" w:hint="default"/>
      </w:rPr>
    </w:lvl>
    <w:lvl w:ilvl="4" w:tplc="99443BBE" w:tentative="1">
      <w:start w:val="1"/>
      <w:numFmt w:val="bullet"/>
      <w:lvlText w:val="•"/>
      <w:lvlJc w:val="left"/>
      <w:pPr>
        <w:tabs>
          <w:tab w:val="num" w:pos="3600"/>
        </w:tabs>
        <w:ind w:left="3600" w:hanging="360"/>
      </w:pPr>
      <w:rPr>
        <w:rFonts w:ascii="Times New Roman" w:hAnsi="Times New Roman" w:hint="default"/>
      </w:rPr>
    </w:lvl>
    <w:lvl w:ilvl="5" w:tplc="549C51BC" w:tentative="1">
      <w:start w:val="1"/>
      <w:numFmt w:val="bullet"/>
      <w:lvlText w:val="•"/>
      <w:lvlJc w:val="left"/>
      <w:pPr>
        <w:tabs>
          <w:tab w:val="num" w:pos="4320"/>
        </w:tabs>
        <w:ind w:left="4320" w:hanging="360"/>
      </w:pPr>
      <w:rPr>
        <w:rFonts w:ascii="Times New Roman" w:hAnsi="Times New Roman" w:hint="default"/>
      </w:rPr>
    </w:lvl>
    <w:lvl w:ilvl="6" w:tplc="31FCF7F8" w:tentative="1">
      <w:start w:val="1"/>
      <w:numFmt w:val="bullet"/>
      <w:lvlText w:val="•"/>
      <w:lvlJc w:val="left"/>
      <w:pPr>
        <w:tabs>
          <w:tab w:val="num" w:pos="5040"/>
        </w:tabs>
        <w:ind w:left="5040" w:hanging="360"/>
      </w:pPr>
      <w:rPr>
        <w:rFonts w:ascii="Times New Roman" w:hAnsi="Times New Roman" w:hint="default"/>
      </w:rPr>
    </w:lvl>
    <w:lvl w:ilvl="7" w:tplc="AE5CA634" w:tentative="1">
      <w:start w:val="1"/>
      <w:numFmt w:val="bullet"/>
      <w:lvlText w:val="•"/>
      <w:lvlJc w:val="left"/>
      <w:pPr>
        <w:tabs>
          <w:tab w:val="num" w:pos="5760"/>
        </w:tabs>
        <w:ind w:left="5760" w:hanging="360"/>
      </w:pPr>
      <w:rPr>
        <w:rFonts w:ascii="Times New Roman" w:hAnsi="Times New Roman" w:hint="default"/>
      </w:rPr>
    </w:lvl>
    <w:lvl w:ilvl="8" w:tplc="9C0E3C4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74F0621"/>
    <w:multiLevelType w:val="hybridMultilevel"/>
    <w:tmpl w:val="C2689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B13514"/>
    <w:multiLevelType w:val="hybridMultilevel"/>
    <w:tmpl w:val="D6E0F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A70D0F"/>
    <w:multiLevelType w:val="hybridMultilevel"/>
    <w:tmpl w:val="6D609908"/>
    <w:lvl w:ilvl="0" w:tplc="0EBA5940">
      <w:numFmt w:val="bullet"/>
      <w:lvlText w:val="-"/>
      <w:lvlJc w:val="left"/>
      <w:pPr>
        <w:ind w:left="480" w:hanging="360"/>
      </w:pPr>
      <w:rPr>
        <w:rFonts w:ascii="Trebuchet MS" w:eastAsia="Times New Roman" w:hAnsi="Trebuchet MS" w:cs="Times New Roman" w:hint="default"/>
        <w:b/>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8">
    <w:nsid w:val="4B49680F"/>
    <w:multiLevelType w:val="hybridMultilevel"/>
    <w:tmpl w:val="9F760ADE"/>
    <w:lvl w:ilvl="0" w:tplc="66A65092">
      <w:start w:val="1"/>
      <w:numFmt w:val="bullet"/>
      <w:lvlText w:val="•"/>
      <w:lvlJc w:val="left"/>
      <w:pPr>
        <w:tabs>
          <w:tab w:val="num" w:pos="720"/>
        </w:tabs>
        <w:ind w:left="720" w:hanging="360"/>
      </w:pPr>
      <w:rPr>
        <w:rFonts w:ascii="Times New Roman" w:hAnsi="Times New Roman" w:hint="default"/>
      </w:rPr>
    </w:lvl>
    <w:lvl w:ilvl="1" w:tplc="780CC024" w:tentative="1">
      <w:start w:val="1"/>
      <w:numFmt w:val="bullet"/>
      <w:lvlText w:val="•"/>
      <w:lvlJc w:val="left"/>
      <w:pPr>
        <w:tabs>
          <w:tab w:val="num" w:pos="1440"/>
        </w:tabs>
        <w:ind w:left="1440" w:hanging="360"/>
      </w:pPr>
      <w:rPr>
        <w:rFonts w:ascii="Times New Roman" w:hAnsi="Times New Roman" w:hint="default"/>
      </w:rPr>
    </w:lvl>
    <w:lvl w:ilvl="2" w:tplc="E018AD32" w:tentative="1">
      <w:start w:val="1"/>
      <w:numFmt w:val="bullet"/>
      <w:lvlText w:val="•"/>
      <w:lvlJc w:val="left"/>
      <w:pPr>
        <w:tabs>
          <w:tab w:val="num" w:pos="2160"/>
        </w:tabs>
        <w:ind w:left="2160" w:hanging="360"/>
      </w:pPr>
      <w:rPr>
        <w:rFonts w:ascii="Times New Roman" w:hAnsi="Times New Roman" w:hint="default"/>
      </w:rPr>
    </w:lvl>
    <w:lvl w:ilvl="3" w:tplc="0326261C" w:tentative="1">
      <w:start w:val="1"/>
      <w:numFmt w:val="bullet"/>
      <w:lvlText w:val="•"/>
      <w:lvlJc w:val="left"/>
      <w:pPr>
        <w:tabs>
          <w:tab w:val="num" w:pos="2880"/>
        </w:tabs>
        <w:ind w:left="2880" w:hanging="360"/>
      </w:pPr>
      <w:rPr>
        <w:rFonts w:ascii="Times New Roman" w:hAnsi="Times New Roman" w:hint="default"/>
      </w:rPr>
    </w:lvl>
    <w:lvl w:ilvl="4" w:tplc="7E32DFF0" w:tentative="1">
      <w:start w:val="1"/>
      <w:numFmt w:val="bullet"/>
      <w:lvlText w:val="•"/>
      <w:lvlJc w:val="left"/>
      <w:pPr>
        <w:tabs>
          <w:tab w:val="num" w:pos="3600"/>
        </w:tabs>
        <w:ind w:left="3600" w:hanging="360"/>
      </w:pPr>
      <w:rPr>
        <w:rFonts w:ascii="Times New Roman" w:hAnsi="Times New Roman" w:hint="default"/>
      </w:rPr>
    </w:lvl>
    <w:lvl w:ilvl="5" w:tplc="9872B1DA" w:tentative="1">
      <w:start w:val="1"/>
      <w:numFmt w:val="bullet"/>
      <w:lvlText w:val="•"/>
      <w:lvlJc w:val="left"/>
      <w:pPr>
        <w:tabs>
          <w:tab w:val="num" w:pos="4320"/>
        </w:tabs>
        <w:ind w:left="4320" w:hanging="360"/>
      </w:pPr>
      <w:rPr>
        <w:rFonts w:ascii="Times New Roman" w:hAnsi="Times New Roman" w:hint="default"/>
      </w:rPr>
    </w:lvl>
    <w:lvl w:ilvl="6" w:tplc="9F841C2A" w:tentative="1">
      <w:start w:val="1"/>
      <w:numFmt w:val="bullet"/>
      <w:lvlText w:val="•"/>
      <w:lvlJc w:val="left"/>
      <w:pPr>
        <w:tabs>
          <w:tab w:val="num" w:pos="5040"/>
        </w:tabs>
        <w:ind w:left="5040" w:hanging="360"/>
      </w:pPr>
      <w:rPr>
        <w:rFonts w:ascii="Times New Roman" w:hAnsi="Times New Roman" w:hint="default"/>
      </w:rPr>
    </w:lvl>
    <w:lvl w:ilvl="7" w:tplc="FEFCD6B6" w:tentative="1">
      <w:start w:val="1"/>
      <w:numFmt w:val="bullet"/>
      <w:lvlText w:val="•"/>
      <w:lvlJc w:val="left"/>
      <w:pPr>
        <w:tabs>
          <w:tab w:val="num" w:pos="5760"/>
        </w:tabs>
        <w:ind w:left="5760" w:hanging="360"/>
      </w:pPr>
      <w:rPr>
        <w:rFonts w:ascii="Times New Roman" w:hAnsi="Times New Roman" w:hint="default"/>
      </w:rPr>
    </w:lvl>
    <w:lvl w:ilvl="8" w:tplc="A4E4378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91B2277"/>
    <w:multiLevelType w:val="hybridMultilevel"/>
    <w:tmpl w:val="F1202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BC14284"/>
    <w:multiLevelType w:val="hybridMultilevel"/>
    <w:tmpl w:val="E4FC4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69C3710"/>
    <w:multiLevelType w:val="hybridMultilevel"/>
    <w:tmpl w:val="44666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F4F680C"/>
    <w:multiLevelType w:val="hybridMultilevel"/>
    <w:tmpl w:val="98B49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CB6931"/>
    <w:multiLevelType w:val="hybridMultilevel"/>
    <w:tmpl w:val="871CCFD4"/>
    <w:lvl w:ilvl="0" w:tplc="A87C28F6">
      <w:start w:val="1"/>
      <w:numFmt w:val="bullet"/>
      <w:lvlText w:val="•"/>
      <w:lvlJc w:val="left"/>
      <w:pPr>
        <w:tabs>
          <w:tab w:val="num" w:pos="720"/>
        </w:tabs>
        <w:ind w:left="720" w:hanging="360"/>
      </w:pPr>
      <w:rPr>
        <w:rFonts w:ascii="Times New Roman" w:hAnsi="Times New Roman" w:hint="default"/>
      </w:rPr>
    </w:lvl>
    <w:lvl w:ilvl="1" w:tplc="CEB205B4" w:tentative="1">
      <w:start w:val="1"/>
      <w:numFmt w:val="bullet"/>
      <w:lvlText w:val="•"/>
      <w:lvlJc w:val="left"/>
      <w:pPr>
        <w:tabs>
          <w:tab w:val="num" w:pos="1440"/>
        </w:tabs>
        <w:ind w:left="1440" w:hanging="360"/>
      </w:pPr>
      <w:rPr>
        <w:rFonts w:ascii="Times New Roman" w:hAnsi="Times New Roman" w:hint="default"/>
      </w:rPr>
    </w:lvl>
    <w:lvl w:ilvl="2" w:tplc="293669F2" w:tentative="1">
      <w:start w:val="1"/>
      <w:numFmt w:val="bullet"/>
      <w:lvlText w:val="•"/>
      <w:lvlJc w:val="left"/>
      <w:pPr>
        <w:tabs>
          <w:tab w:val="num" w:pos="2160"/>
        </w:tabs>
        <w:ind w:left="2160" w:hanging="360"/>
      </w:pPr>
      <w:rPr>
        <w:rFonts w:ascii="Times New Roman" w:hAnsi="Times New Roman" w:hint="default"/>
      </w:rPr>
    </w:lvl>
    <w:lvl w:ilvl="3" w:tplc="FD962A8A" w:tentative="1">
      <w:start w:val="1"/>
      <w:numFmt w:val="bullet"/>
      <w:lvlText w:val="•"/>
      <w:lvlJc w:val="left"/>
      <w:pPr>
        <w:tabs>
          <w:tab w:val="num" w:pos="2880"/>
        </w:tabs>
        <w:ind w:left="2880" w:hanging="360"/>
      </w:pPr>
      <w:rPr>
        <w:rFonts w:ascii="Times New Roman" w:hAnsi="Times New Roman" w:hint="default"/>
      </w:rPr>
    </w:lvl>
    <w:lvl w:ilvl="4" w:tplc="3D8CA2A6" w:tentative="1">
      <w:start w:val="1"/>
      <w:numFmt w:val="bullet"/>
      <w:lvlText w:val="•"/>
      <w:lvlJc w:val="left"/>
      <w:pPr>
        <w:tabs>
          <w:tab w:val="num" w:pos="3600"/>
        </w:tabs>
        <w:ind w:left="3600" w:hanging="360"/>
      </w:pPr>
      <w:rPr>
        <w:rFonts w:ascii="Times New Roman" w:hAnsi="Times New Roman" w:hint="default"/>
      </w:rPr>
    </w:lvl>
    <w:lvl w:ilvl="5" w:tplc="588EC136" w:tentative="1">
      <w:start w:val="1"/>
      <w:numFmt w:val="bullet"/>
      <w:lvlText w:val="•"/>
      <w:lvlJc w:val="left"/>
      <w:pPr>
        <w:tabs>
          <w:tab w:val="num" w:pos="4320"/>
        </w:tabs>
        <w:ind w:left="4320" w:hanging="360"/>
      </w:pPr>
      <w:rPr>
        <w:rFonts w:ascii="Times New Roman" w:hAnsi="Times New Roman" w:hint="default"/>
      </w:rPr>
    </w:lvl>
    <w:lvl w:ilvl="6" w:tplc="C47EC09A" w:tentative="1">
      <w:start w:val="1"/>
      <w:numFmt w:val="bullet"/>
      <w:lvlText w:val="•"/>
      <w:lvlJc w:val="left"/>
      <w:pPr>
        <w:tabs>
          <w:tab w:val="num" w:pos="5040"/>
        </w:tabs>
        <w:ind w:left="5040" w:hanging="360"/>
      </w:pPr>
      <w:rPr>
        <w:rFonts w:ascii="Times New Roman" w:hAnsi="Times New Roman" w:hint="default"/>
      </w:rPr>
    </w:lvl>
    <w:lvl w:ilvl="7" w:tplc="49524F2E" w:tentative="1">
      <w:start w:val="1"/>
      <w:numFmt w:val="bullet"/>
      <w:lvlText w:val="•"/>
      <w:lvlJc w:val="left"/>
      <w:pPr>
        <w:tabs>
          <w:tab w:val="num" w:pos="5760"/>
        </w:tabs>
        <w:ind w:left="5760" w:hanging="360"/>
      </w:pPr>
      <w:rPr>
        <w:rFonts w:ascii="Times New Roman" w:hAnsi="Times New Roman" w:hint="default"/>
      </w:rPr>
    </w:lvl>
    <w:lvl w:ilvl="8" w:tplc="22A0CAB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7DE5308"/>
    <w:multiLevelType w:val="hybridMultilevel"/>
    <w:tmpl w:val="1E02B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9F7387B"/>
    <w:multiLevelType w:val="hybridMultilevel"/>
    <w:tmpl w:val="FF9CB3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7"/>
  </w:num>
  <w:num w:numId="3">
    <w:abstractNumId w:val="14"/>
  </w:num>
  <w:num w:numId="4">
    <w:abstractNumId w:val="9"/>
  </w:num>
  <w:num w:numId="5">
    <w:abstractNumId w:val="5"/>
  </w:num>
  <w:num w:numId="6">
    <w:abstractNumId w:val="6"/>
  </w:num>
  <w:num w:numId="7">
    <w:abstractNumId w:val="11"/>
  </w:num>
  <w:num w:numId="8">
    <w:abstractNumId w:val="3"/>
  </w:num>
  <w:num w:numId="9">
    <w:abstractNumId w:val="0"/>
  </w:num>
  <w:num w:numId="10">
    <w:abstractNumId w:val="2"/>
  </w:num>
  <w:num w:numId="11">
    <w:abstractNumId w:val="1"/>
  </w:num>
  <w:num w:numId="12">
    <w:abstractNumId w:val="8"/>
  </w:num>
  <w:num w:numId="13">
    <w:abstractNumId w:val="13"/>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F6"/>
    <w:rsid w:val="00012C51"/>
    <w:rsid w:val="0001766F"/>
    <w:rsid w:val="00036454"/>
    <w:rsid w:val="001B6195"/>
    <w:rsid w:val="001D3CAC"/>
    <w:rsid w:val="001D74CC"/>
    <w:rsid w:val="002058CD"/>
    <w:rsid w:val="00280507"/>
    <w:rsid w:val="002D1453"/>
    <w:rsid w:val="0037316C"/>
    <w:rsid w:val="003A1D0A"/>
    <w:rsid w:val="003A2776"/>
    <w:rsid w:val="003A6555"/>
    <w:rsid w:val="0041117D"/>
    <w:rsid w:val="00427A70"/>
    <w:rsid w:val="00451C20"/>
    <w:rsid w:val="00464400"/>
    <w:rsid w:val="00487DA5"/>
    <w:rsid w:val="00495218"/>
    <w:rsid w:val="004A2027"/>
    <w:rsid w:val="004D0EA8"/>
    <w:rsid w:val="004D22C1"/>
    <w:rsid w:val="004E45E4"/>
    <w:rsid w:val="005026C2"/>
    <w:rsid w:val="00565EBD"/>
    <w:rsid w:val="00573360"/>
    <w:rsid w:val="005F0710"/>
    <w:rsid w:val="005F5AE4"/>
    <w:rsid w:val="006478DB"/>
    <w:rsid w:val="00670C9A"/>
    <w:rsid w:val="006C4F26"/>
    <w:rsid w:val="00731F42"/>
    <w:rsid w:val="0076286E"/>
    <w:rsid w:val="00782654"/>
    <w:rsid w:val="007A2589"/>
    <w:rsid w:val="007C24DB"/>
    <w:rsid w:val="00866534"/>
    <w:rsid w:val="008A7B8C"/>
    <w:rsid w:val="008D604A"/>
    <w:rsid w:val="008E2932"/>
    <w:rsid w:val="00931247"/>
    <w:rsid w:val="009C664B"/>
    <w:rsid w:val="00A02B50"/>
    <w:rsid w:val="00A567AF"/>
    <w:rsid w:val="00AE176E"/>
    <w:rsid w:val="00BB0734"/>
    <w:rsid w:val="00BB25C8"/>
    <w:rsid w:val="00BF4287"/>
    <w:rsid w:val="00C51D68"/>
    <w:rsid w:val="00C610B3"/>
    <w:rsid w:val="00C73383"/>
    <w:rsid w:val="00C762F6"/>
    <w:rsid w:val="00C8090B"/>
    <w:rsid w:val="00CC4F97"/>
    <w:rsid w:val="00CE6D8B"/>
    <w:rsid w:val="00CF4002"/>
    <w:rsid w:val="00D06FB8"/>
    <w:rsid w:val="00D14256"/>
    <w:rsid w:val="00D205E1"/>
    <w:rsid w:val="00D436E1"/>
    <w:rsid w:val="00D861B2"/>
    <w:rsid w:val="00DF6D66"/>
    <w:rsid w:val="00E04A40"/>
    <w:rsid w:val="00E40BEE"/>
    <w:rsid w:val="00EF6210"/>
    <w:rsid w:val="00F35166"/>
    <w:rsid w:val="00FF0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762F6"/>
    <w:rPr>
      <w:b/>
      <w:bCs/>
    </w:rPr>
  </w:style>
  <w:style w:type="paragraph" w:styleId="Normlnweb">
    <w:name w:val="Normal (Web)"/>
    <w:basedOn w:val="Normln"/>
    <w:uiPriority w:val="99"/>
    <w:unhideWhenUsed/>
    <w:rsid w:val="00C762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intenzivn">
    <w:name w:val="Intense Reference"/>
    <w:qFormat/>
    <w:rsid w:val="00D861B2"/>
    <w:rPr>
      <w:b/>
      <w:bCs/>
      <w:smallCaps/>
      <w:color w:val="C0504D"/>
      <w:spacing w:val="5"/>
      <w:u w:val="single"/>
    </w:rPr>
  </w:style>
  <w:style w:type="paragraph" w:styleId="Bezmezer">
    <w:name w:val="No Spacing"/>
    <w:uiPriority w:val="1"/>
    <w:qFormat/>
    <w:rsid w:val="00D861B2"/>
    <w:pPr>
      <w:suppressAutoHyphens/>
      <w:spacing w:after="0" w:line="240" w:lineRule="auto"/>
    </w:pPr>
    <w:rPr>
      <w:rFonts w:ascii="Calibri" w:eastAsia="Calibri" w:hAnsi="Calibri" w:cs="Calibri"/>
      <w:lang w:eastAsia="ar-SA"/>
    </w:rPr>
  </w:style>
  <w:style w:type="character" w:styleId="Hypertextovodkaz">
    <w:name w:val="Hyperlink"/>
    <w:basedOn w:val="Standardnpsmoodstavce"/>
    <w:uiPriority w:val="99"/>
    <w:unhideWhenUsed/>
    <w:rsid w:val="005F0710"/>
    <w:rPr>
      <w:color w:val="0000FF" w:themeColor="hyperlink"/>
      <w:u w:val="single"/>
    </w:rPr>
  </w:style>
  <w:style w:type="paragraph" w:styleId="Zhlav">
    <w:name w:val="header"/>
    <w:basedOn w:val="Normln"/>
    <w:link w:val="ZhlavChar"/>
    <w:uiPriority w:val="99"/>
    <w:unhideWhenUsed/>
    <w:rsid w:val="005F07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10"/>
  </w:style>
  <w:style w:type="paragraph" w:styleId="Zpat">
    <w:name w:val="footer"/>
    <w:basedOn w:val="Normln"/>
    <w:link w:val="ZpatChar"/>
    <w:uiPriority w:val="99"/>
    <w:unhideWhenUsed/>
    <w:rsid w:val="005F0710"/>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762F6"/>
    <w:rPr>
      <w:b/>
      <w:bCs/>
    </w:rPr>
  </w:style>
  <w:style w:type="paragraph" w:styleId="Normlnweb">
    <w:name w:val="Normal (Web)"/>
    <w:basedOn w:val="Normln"/>
    <w:uiPriority w:val="99"/>
    <w:unhideWhenUsed/>
    <w:rsid w:val="00C762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intenzivn">
    <w:name w:val="Intense Reference"/>
    <w:qFormat/>
    <w:rsid w:val="00D861B2"/>
    <w:rPr>
      <w:b/>
      <w:bCs/>
      <w:smallCaps/>
      <w:color w:val="C0504D"/>
      <w:spacing w:val="5"/>
      <w:u w:val="single"/>
    </w:rPr>
  </w:style>
  <w:style w:type="paragraph" w:styleId="Bezmezer">
    <w:name w:val="No Spacing"/>
    <w:uiPriority w:val="1"/>
    <w:qFormat/>
    <w:rsid w:val="00D861B2"/>
    <w:pPr>
      <w:suppressAutoHyphens/>
      <w:spacing w:after="0" w:line="240" w:lineRule="auto"/>
    </w:pPr>
    <w:rPr>
      <w:rFonts w:ascii="Calibri" w:eastAsia="Calibri" w:hAnsi="Calibri" w:cs="Calibri"/>
      <w:lang w:eastAsia="ar-SA"/>
    </w:rPr>
  </w:style>
  <w:style w:type="character" w:styleId="Hypertextovodkaz">
    <w:name w:val="Hyperlink"/>
    <w:basedOn w:val="Standardnpsmoodstavce"/>
    <w:uiPriority w:val="99"/>
    <w:unhideWhenUsed/>
    <w:rsid w:val="005F0710"/>
    <w:rPr>
      <w:color w:val="0000FF" w:themeColor="hyperlink"/>
      <w:u w:val="single"/>
    </w:rPr>
  </w:style>
  <w:style w:type="paragraph" w:styleId="Zhlav">
    <w:name w:val="header"/>
    <w:basedOn w:val="Normln"/>
    <w:link w:val="ZhlavChar"/>
    <w:uiPriority w:val="99"/>
    <w:unhideWhenUsed/>
    <w:rsid w:val="005F07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10"/>
  </w:style>
  <w:style w:type="paragraph" w:styleId="Zpat">
    <w:name w:val="footer"/>
    <w:basedOn w:val="Normln"/>
    <w:link w:val="ZpatChar"/>
    <w:uiPriority w:val="99"/>
    <w:unhideWhenUsed/>
    <w:rsid w:val="005F0710"/>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644">
      <w:bodyDiv w:val="1"/>
      <w:marLeft w:val="0"/>
      <w:marRight w:val="0"/>
      <w:marTop w:val="0"/>
      <w:marBottom w:val="0"/>
      <w:divBdr>
        <w:top w:val="none" w:sz="0" w:space="0" w:color="auto"/>
        <w:left w:val="none" w:sz="0" w:space="0" w:color="auto"/>
        <w:bottom w:val="none" w:sz="0" w:space="0" w:color="auto"/>
        <w:right w:val="none" w:sz="0" w:space="0" w:color="auto"/>
      </w:divBdr>
    </w:div>
    <w:div w:id="788402947">
      <w:bodyDiv w:val="1"/>
      <w:marLeft w:val="0"/>
      <w:marRight w:val="0"/>
      <w:marTop w:val="0"/>
      <w:marBottom w:val="0"/>
      <w:divBdr>
        <w:top w:val="none" w:sz="0" w:space="0" w:color="auto"/>
        <w:left w:val="none" w:sz="0" w:space="0" w:color="auto"/>
        <w:bottom w:val="none" w:sz="0" w:space="0" w:color="auto"/>
        <w:right w:val="none" w:sz="0" w:space="0" w:color="auto"/>
      </w:divBdr>
    </w:div>
    <w:div w:id="939486268">
      <w:bodyDiv w:val="1"/>
      <w:marLeft w:val="0"/>
      <w:marRight w:val="0"/>
      <w:marTop w:val="0"/>
      <w:marBottom w:val="0"/>
      <w:divBdr>
        <w:top w:val="none" w:sz="0" w:space="0" w:color="auto"/>
        <w:left w:val="none" w:sz="0" w:space="0" w:color="auto"/>
        <w:bottom w:val="none" w:sz="0" w:space="0" w:color="auto"/>
        <w:right w:val="none" w:sz="0" w:space="0" w:color="auto"/>
      </w:divBdr>
      <w:divsChild>
        <w:div w:id="1965233046">
          <w:marLeft w:val="547"/>
          <w:marRight w:val="0"/>
          <w:marTop w:val="86"/>
          <w:marBottom w:val="0"/>
          <w:divBdr>
            <w:top w:val="none" w:sz="0" w:space="0" w:color="auto"/>
            <w:left w:val="none" w:sz="0" w:space="0" w:color="auto"/>
            <w:bottom w:val="none" w:sz="0" w:space="0" w:color="auto"/>
            <w:right w:val="none" w:sz="0" w:space="0" w:color="auto"/>
          </w:divBdr>
        </w:div>
        <w:div w:id="1090851245">
          <w:marLeft w:val="547"/>
          <w:marRight w:val="0"/>
          <w:marTop w:val="86"/>
          <w:marBottom w:val="0"/>
          <w:divBdr>
            <w:top w:val="none" w:sz="0" w:space="0" w:color="auto"/>
            <w:left w:val="none" w:sz="0" w:space="0" w:color="auto"/>
            <w:bottom w:val="none" w:sz="0" w:space="0" w:color="auto"/>
            <w:right w:val="none" w:sz="0" w:space="0" w:color="auto"/>
          </w:divBdr>
        </w:div>
      </w:divsChild>
    </w:div>
    <w:div w:id="1274441049">
      <w:bodyDiv w:val="1"/>
      <w:marLeft w:val="0"/>
      <w:marRight w:val="0"/>
      <w:marTop w:val="0"/>
      <w:marBottom w:val="0"/>
      <w:divBdr>
        <w:top w:val="none" w:sz="0" w:space="0" w:color="auto"/>
        <w:left w:val="none" w:sz="0" w:space="0" w:color="auto"/>
        <w:bottom w:val="none" w:sz="0" w:space="0" w:color="auto"/>
        <w:right w:val="none" w:sz="0" w:space="0" w:color="auto"/>
      </w:divBdr>
    </w:div>
    <w:div w:id="1431196616">
      <w:bodyDiv w:val="1"/>
      <w:marLeft w:val="0"/>
      <w:marRight w:val="0"/>
      <w:marTop w:val="0"/>
      <w:marBottom w:val="0"/>
      <w:divBdr>
        <w:top w:val="none" w:sz="0" w:space="0" w:color="auto"/>
        <w:left w:val="none" w:sz="0" w:space="0" w:color="auto"/>
        <w:bottom w:val="none" w:sz="0" w:space="0" w:color="auto"/>
        <w:right w:val="none" w:sz="0" w:space="0" w:color="auto"/>
      </w:divBdr>
      <w:divsChild>
        <w:div w:id="2060083926">
          <w:marLeft w:val="0"/>
          <w:marRight w:val="0"/>
          <w:marTop w:val="0"/>
          <w:marBottom w:val="0"/>
          <w:divBdr>
            <w:top w:val="none" w:sz="0" w:space="0" w:color="auto"/>
            <w:left w:val="none" w:sz="0" w:space="0" w:color="auto"/>
            <w:bottom w:val="none" w:sz="0" w:space="0" w:color="auto"/>
            <w:right w:val="none" w:sz="0" w:space="0" w:color="auto"/>
          </w:divBdr>
          <w:divsChild>
            <w:div w:id="2049064684">
              <w:marLeft w:val="0"/>
              <w:marRight w:val="0"/>
              <w:marTop w:val="0"/>
              <w:marBottom w:val="0"/>
              <w:divBdr>
                <w:top w:val="none" w:sz="0" w:space="0" w:color="auto"/>
                <w:left w:val="none" w:sz="0" w:space="0" w:color="auto"/>
                <w:bottom w:val="none" w:sz="0" w:space="0" w:color="auto"/>
                <w:right w:val="none" w:sz="0" w:space="0" w:color="auto"/>
              </w:divBdr>
              <w:divsChild>
                <w:div w:id="9171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99246">
      <w:bodyDiv w:val="1"/>
      <w:marLeft w:val="0"/>
      <w:marRight w:val="0"/>
      <w:marTop w:val="0"/>
      <w:marBottom w:val="0"/>
      <w:divBdr>
        <w:top w:val="none" w:sz="0" w:space="0" w:color="auto"/>
        <w:left w:val="none" w:sz="0" w:space="0" w:color="auto"/>
        <w:bottom w:val="none" w:sz="0" w:space="0" w:color="auto"/>
        <w:right w:val="none" w:sz="0" w:space="0" w:color="auto"/>
      </w:divBdr>
    </w:div>
    <w:div w:id="1454669698">
      <w:bodyDiv w:val="1"/>
      <w:marLeft w:val="0"/>
      <w:marRight w:val="0"/>
      <w:marTop w:val="0"/>
      <w:marBottom w:val="0"/>
      <w:divBdr>
        <w:top w:val="none" w:sz="0" w:space="0" w:color="auto"/>
        <w:left w:val="none" w:sz="0" w:space="0" w:color="auto"/>
        <w:bottom w:val="none" w:sz="0" w:space="0" w:color="auto"/>
        <w:right w:val="none" w:sz="0" w:space="0" w:color="auto"/>
      </w:divBdr>
      <w:divsChild>
        <w:div w:id="1636640222">
          <w:marLeft w:val="0"/>
          <w:marRight w:val="0"/>
          <w:marTop w:val="0"/>
          <w:marBottom w:val="0"/>
          <w:divBdr>
            <w:top w:val="none" w:sz="0" w:space="0" w:color="auto"/>
            <w:left w:val="none" w:sz="0" w:space="0" w:color="auto"/>
            <w:bottom w:val="none" w:sz="0" w:space="0" w:color="auto"/>
            <w:right w:val="none" w:sz="0" w:space="0" w:color="auto"/>
          </w:divBdr>
          <w:divsChild>
            <w:div w:id="1719861414">
              <w:marLeft w:val="0"/>
              <w:marRight w:val="0"/>
              <w:marTop w:val="0"/>
              <w:marBottom w:val="0"/>
              <w:divBdr>
                <w:top w:val="none" w:sz="0" w:space="0" w:color="auto"/>
                <w:left w:val="none" w:sz="0" w:space="0" w:color="auto"/>
                <w:bottom w:val="none" w:sz="0" w:space="0" w:color="auto"/>
                <w:right w:val="none" w:sz="0" w:space="0" w:color="auto"/>
              </w:divBdr>
              <w:divsChild>
                <w:div w:id="7281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796">
      <w:bodyDiv w:val="1"/>
      <w:marLeft w:val="0"/>
      <w:marRight w:val="0"/>
      <w:marTop w:val="0"/>
      <w:marBottom w:val="0"/>
      <w:divBdr>
        <w:top w:val="none" w:sz="0" w:space="0" w:color="auto"/>
        <w:left w:val="none" w:sz="0" w:space="0" w:color="auto"/>
        <w:bottom w:val="none" w:sz="0" w:space="0" w:color="auto"/>
        <w:right w:val="none" w:sz="0" w:space="0" w:color="auto"/>
      </w:divBdr>
      <w:divsChild>
        <w:div w:id="1959489536">
          <w:marLeft w:val="547"/>
          <w:marRight w:val="0"/>
          <w:marTop w:val="86"/>
          <w:marBottom w:val="0"/>
          <w:divBdr>
            <w:top w:val="none" w:sz="0" w:space="0" w:color="auto"/>
            <w:left w:val="none" w:sz="0" w:space="0" w:color="auto"/>
            <w:bottom w:val="none" w:sz="0" w:space="0" w:color="auto"/>
            <w:right w:val="none" w:sz="0" w:space="0" w:color="auto"/>
          </w:divBdr>
        </w:div>
      </w:divsChild>
    </w:div>
    <w:div w:id="1649628509">
      <w:bodyDiv w:val="1"/>
      <w:marLeft w:val="0"/>
      <w:marRight w:val="0"/>
      <w:marTop w:val="0"/>
      <w:marBottom w:val="0"/>
      <w:divBdr>
        <w:top w:val="none" w:sz="0" w:space="0" w:color="auto"/>
        <w:left w:val="none" w:sz="0" w:space="0" w:color="auto"/>
        <w:bottom w:val="none" w:sz="0" w:space="0" w:color="auto"/>
        <w:right w:val="none" w:sz="0" w:space="0" w:color="auto"/>
      </w:divBdr>
    </w:div>
    <w:div w:id="1657488312">
      <w:bodyDiv w:val="1"/>
      <w:marLeft w:val="0"/>
      <w:marRight w:val="0"/>
      <w:marTop w:val="0"/>
      <w:marBottom w:val="0"/>
      <w:divBdr>
        <w:top w:val="none" w:sz="0" w:space="0" w:color="auto"/>
        <w:left w:val="none" w:sz="0" w:space="0" w:color="auto"/>
        <w:bottom w:val="none" w:sz="0" w:space="0" w:color="auto"/>
        <w:right w:val="none" w:sz="0" w:space="0" w:color="auto"/>
      </w:divBdr>
      <w:divsChild>
        <w:div w:id="791481084">
          <w:marLeft w:val="0"/>
          <w:marRight w:val="0"/>
          <w:marTop w:val="0"/>
          <w:marBottom w:val="0"/>
          <w:divBdr>
            <w:top w:val="none" w:sz="0" w:space="0" w:color="auto"/>
            <w:left w:val="none" w:sz="0" w:space="0" w:color="auto"/>
            <w:bottom w:val="none" w:sz="0" w:space="0" w:color="auto"/>
            <w:right w:val="none" w:sz="0" w:space="0" w:color="auto"/>
          </w:divBdr>
          <w:divsChild>
            <w:div w:id="505025762">
              <w:marLeft w:val="0"/>
              <w:marRight w:val="0"/>
              <w:marTop w:val="0"/>
              <w:marBottom w:val="0"/>
              <w:divBdr>
                <w:top w:val="none" w:sz="0" w:space="0" w:color="auto"/>
                <w:left w:val="none" w:sz="0" w:space="0" w:color="auto"/>
                <w:bottom w:val="none" w:sz="0" w:space="0" w:color="auto"/>
                <w:right w:val="none" w:sz="0" w:space="0" w:color="auto"/>
              </w:divBdr>
              <w:divsChild>
                <w:div w:id="11088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newsroom/consumer-marketing/events/150316_e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ha.europa.eu/view-article/-/journal_content/title/forums-new-project-focuses-on-child-resistant-fastening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4337</Words>
  <Characters>25590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29868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Lenka</dc:creator>
  <cp:lastModifiedBy>Němcová Lenka</cp:lastModifiedBy>
  <cp:revision>16</cp:revision>
  <cp:lastPrinted>2014-12-04T10:14:00Z</cp:lastPrinted>
  <dcterms:created xsi:type="dcterms:W3CDTF">2015-05-29T08:44:00Z</dcterms:created>
  <dcterms:modified xsi:type="dcterms:W3CDTF">2015-06-23T11:25:00Z</dcterms:modified>
</cp:coreProperties>
</file>